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AlkStV — Erstellen des elektronischen Verwaltungsdokuments; Mitführen des eindeutigen Referenzcodes</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Sollen Alkoholerzeugnisse unter Steueraussetzung befördert werden aus einem Steuerlager im Steuergebiet oder vom Ort der Einfuhr im Steuergebiet</w:t>
      </w:r>
    </w:p>
    <w:p>
      <w:pPr>
        <w:ind w:left="420"/>
      </w:pPr>
      <w:r>
        <w:t xml:space="preserve">1. in ein Steuerlager im Steuergebiet oder zu einem Begünstigten im Steuergebiet,</w:t>
      </w:r>
    </w:p>
    <w:p>
      <w:pPr>
        <w:ind w:left="420"/>
      </w:pPr>
      <w:r>
        <w:t xml:space="preserve">2. in ein Steuerlager, in den Betrieb eines registrierten Empfängers oder zu einem Begünstigten in einem anderen Mitgliedstaat oder</w:t>
      </w:r>
    </w:p>
    <w:p>
      <w:pPr>
        <w:ind w:left="420"/>
      </w:pPr>
      <w:r>
        <w:t xml:space="preserve">3. zu einem Ort, an dem die Alkoholerzeugnisse das Verbrauchsteuergebiet der Europäischen Union verlassen oder in das externe Versandverfahren nach Artikel 226 Absatz 2 des Unionszollkodex überführt werden, sofern dies nach Artikel 189 Absatz 4 der Delegierten Verordnung zum Unionszollkodex vorgesehen ist,</w:t>
      </w:r>
    </w:p>
    <w:p>
      <w:r>
        <w:t xml:space="preserve">hat der Versender dem Hauptzollamt vor Beginn der Beförderung unter Verwendung des EDV-gestützten Beförderungs- und Kontrollsystems den Entwurf des elektronischen Verwaltungsdokuments mit dem in Artikel 3 Absatz 1 der EMCS-Durchführungsverordnung vorgeschriebenen Datensatz zu übermitteln.</w:t>
      </w:r>
    </w:p>
    <w:p>
      <w:r>
        <w:t xml:space="preserve">(2) Das Hauptzollamt überprüft automatisiert die Angaben in dem Entwurf des elektronischen Verwaltungsdokuments. Bei Beförderungen vom Ort der Einfuhr erfolgt zusätzlich ein Abgleich mit der Zollanmeldung. Gibt es keine Beanstandungen, wird der Entwurf des elektronischen Verwaltungsdokuments mit einem eindeutigen Referenzcode versehen und dem Versender als elektronisches Verwaltungsdokument übermittelt. Beanstandungen werden dem Versender mitgeteilt.</w:t>
      </w:r>
    </w:p>
    <w:p>
      <w:r>
        <w:t xml:space="preserve">(3) Der Beförderer hat während der Beförderung den eindeutigen Referenzcode mitzuführen und auf Verlangen mitzuteilen. Das Hauptzollamt kann die Vorlage eines Ausdrucks des elektronischen Verwaltungsdokuments oder jedes anderen Handelspapiers verlangen. Bei der Beförderung von Alkoholerzeugnissen aus anderen Mitgliedstaaten gelten die Sätze 1 und 2 entsprechend.</w:t>
      </w:r>
    </w:p>
    <w:p>
      <w:r>
        <w:t xml:space="preserve">(4) Der Versender hat die Alkoholerzeugnisse auf Verlangen des Hauptzollamts unverändert vorzuführen. Dabei kann das Hauptzollamt Verschlussmaßnahmen anordnen.</w:t>
      </w:r>
    </w:p>
    <w:p>
      <w:r>
        <w:t xml:space="preserve">(5) Ist der Empfänger im Falle des Absatzes 1 Nummer 1 ein Steuerlagerinhaber, leitet das für diesen zuständige Hauptzollamt das elektronische Verwaltungsdokument an ihn weiter. Dies gilt auch für Beförderungen, die über einen anderen Mitgliedstaat erfolgen. Ein elektronisches Verwaltungsdokument, das von den zuständigen Behörden eines anderen Mitgliedstaats übermittelt wurde, wird vom zuständigen Hauptzollamt an den Empfänger im Steuergebiet weitergeleitet, wenn dieser ein Steuerlagerinhaber oder ein registrierter Empfänger ist.</w:t>
      </w:r>
    </w:p>
    <w:p>
      <w:r>
        <w:rPr>
          <w:color w:val="555555"/>
          <w:sz w:val="17"/>
        </w:rPr>
        <w:t xml:space="preserve">Zitiervorschlag: § 29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