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AlkStV — Amtliche Ausbeutesätze der zugelassenen Rohstoffe</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amtliche Ausbeutesatz im Sinne des § 9 Absatz 3 und des § 11 Absatz 3 des Gesetzes ist die Menge reiner Alkohol, die</w:t>
      </w:r>
    </w:p>
    <w:p>
      <w:pPr>
        <w:ind w:left="420"/>
      </w:pPr>
      <w:r>
        <w:t xml:space="preserve">1. bei mehligen Stoffen aus 100 Kilogramm der Rohstoffe gewonnen wird und</w:t>
      </w:r>
    </w:p>
    <w:p>
      <w:pPr>
        <w:ind w:left="420"/>
      </w:pPr>
      <w:r>
        <w:t xml:space="preserve">2. bei nichtmehligen Stoffen aus einem Hektoliter der Rohstoffe gewonnen wird.</w:t>
      </w:r>
    </w:p>
    <w:p>
      <w:r>
        <w:t xml:space="preserve">(2) Werden Gemische aus verschiedenen Rohstoffen verarbeitet, so ist der Berechnung der Alkoholmenge der Rohstoff zugrunde zu legen, für den der höchste Ausbeutesatz gilt.</w:t>
      </w:r>
    </w:p>
    <w:p>
      <w:r>
        <w:t xml:space="preserve">(3) Abweichend von Absatz 2 bleibt das Malz, das zur Verzuckerung der Maische bestimmt ist, bei frischen Kartoffeln bis zu 5 Prozent, bei geschrotetem Getreide bis zu 15 Prozent des Gewichts der Rohstoffe bei der Berechnung der Alkoholmenge außer Betracht. Übersteigt der Malzzusatz diese Grenzen, so ist die Mehrmenge als geschrotetes Getreide anzusetzen und der daraus gewonnene Alkohol zu versteuern; Bruchteile eines Kilogramms werden hierbei nicht berücksichtigt.</w:t>
      </w:r>
    </w:p>
    <w:p>
      <w:r>
        <w:t xml:space="preserve">(3a) Die Generalzolldirektion überprüft die bereits festgelegten amtlichen Ausbeutesätze oder ermittelt für neu zugelassene Rohstoffe die amtlichen Ausbeutesätze. Zu diesem Zweck kann sie die Hauptzollämter mit der Umsetzung und Überwachung von Maßnahmen beauftragen. Die Auswahl dieser Maßnahmen hängt vom zu untersuchenden Rohstoff ab und kann Probenahmen für Gärversuche und Kontrollbrände in Abfindungsbrennereien innerhalb des Brennverfahrens umfassen. Das jeweils zuständige Hauptzollamt regelt die Einzelheiten zu diesen Maßnahmen.</w:t>
      </w:r>
    </w:p>
    <w:p>
      <w:r>
        <w:t xml:space="preserve">(4) Das Bundesministerium der Finanzen veröffentlicht eine Übersicht der nach § 9 Absatz 3 und § 11 Absatz 3 des Gesetzes zugelassenen Rohstoffe und der festgelegten amtlichen Ausbeutesätze im Bundesanzeiger sowie im Internet auf der zentralen Informationsplattform www.zoll.de. Die Bestimmung der zugelassenen Rohstoffe erfolgt im Einvernehmen mit dem Bundesministerium für Ernährung und Landwirtschaft.</w:t>
      </w:r>
    </w:p>
    <w:p>
      <w:r>
        <w:rPr>
          <w:color w:val="555555"/>
          <w:sz w:val="17"/>
        </w:rPr>
        <w:t xml:space="preserve">Zitiervorschlag: § 24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