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AlkStV — Belegheft, Aufzeichnungen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(1) Der Abfindungsbrenner hat ein Belegheft zu führen. Das Hauptzollamt kann dazu Anordnungen treffen.</w:t>
      </w:r>
    </w:p>
    <w:p>
      <w:r>
        <w:t xml:space="preserve">(2) Das Hauptzollamt kann anordnen, dass der Abfindungsbrenner Aufzeichnungen über die verwendeten Rohstoffe sowie über die Gewinnung und die Reinigung des Alkohols zu führen hat.</w:t>
      </w:r>
    </w:p>
    <w:p>
      <w:r>
        <w:rPr>
          <w:color w:val="555555"/>
          <w:sz w:val="17"/>
        </w:rPr>
        <w:t xml:space="preserve">Zitiervorschlag: § 22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