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AlkStV — Erlöschen und Fortbestand der Erlaubnis zum Betrieb einer Abfindungsbrennerei</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Bei Verkleinerung des landwirtschaftlichen Betriebs des Abfindungsbrenners erlischt die Erlaubnis nicht, wenn der verbleibende Restbetrieb mindestens ein Viertel der Mindestgröße nach § 19 Absatz 2 erreicht.</w:t>
      </w:r>
    </w:p>
    <w:p>
      <w:r>
        <w:t xml:space="preserve">(2) Für die Überprüfung der Erlaubnis und das Erlöschen der Erlaubnis gelten die §§ 7a und 9 entsprechend.</w:t>
      </w:r>
    </w:p>
    <w:p>
      <w:r>
        <w:t xml:space="preserve">(3) Sofern eine Erlaubnis im Sinne des § 38 Absatz 2 des Gesetzes nicht bereits aus anderen Gründen erloschen ist, erlischt sie spätestens mit Ablauf des 31. Dezember 2027. Dies gilt nicht, wenn der landwirtschaftliche Betrieb des Abfindungsbrenners die Voraussetzungen des Absatzes 1 erfüllt.</w:t>
      </w:r>
    </w:p>
    <w:p>
      <w:r>
        <w:rPr>
          <w:color w:val="555555"/>
          <w:sz w:val="17"/>
        </w:rPr>
        <w:t xml:space="preserve">Zitiervorschlag: § 21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