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AlkStV — Aufnahme von Abfindungsalkohol</w:t>
      </w:r>
    </w:p>
    <w:p>
      <w:r>
        <w:rPr>
          <w:color w:val="555555"/>
          <w:sz w:val="18"/>
        </w:rPr>
        <w:t xml:space="preserve">Alkoholsteuerverordnung</w:t>
      </w:r>
    </w:p>
    <w:p>
      <w:r>
        <w:rPr>
          <w:color w:val="555555"/>
          <w:sz w:val="18"/>
        </w:rPr>
        <w:t xml:space="preserve">Stand: 08.09.2021 (konsolidierte Textfassung, kein amtliches Inkrafttretensdatum)</w:t>
      </w:r>
    </w:p>
    <w:p>
      <w:r>
        <w:t xml:space="preserve">(1) Das Hauptzollamt kann dem Steuerlagerinhaber unter Widerrufsvorbehalt gestatten, Abfindungsalkohol, ausgenommen aus Traubenwein, in sein Steuerlager aufzunehmen und für diesen Alkohol eine um 1 Prozent gekürzte Menge an Alkohol gleicher Art steuerfrei, auch in Teilmengen, in den steuerrechtlich freien Verkehr zu entnehmen (Austauschverfahren). Voraussetzung ist, dass der Steuerlagerinhaber selbst eine Verschlussbrennerei nicht nur gelegentlich betreibt und dabei</w:t>
      </w:r>
    </w:p>
    <w:p>
      <w:pPr>
        <w:ind w:left="420"/>
      </w:pPr>
      <w:r>
        <w:t xml:space="preserve">1. mindestens 5 Prozent der im Kalenderjahr in das Steuerlager aufgenommenen Alkoholmenge an Abfindungsalkohol oder</w:t>
      </w:r>
    </w:p>
    <w:p>
      <w:pPr>
        <w:ind w:left="420"/>
      </w:pPr>
      <w:r>
        <w:t xml:space="preserve">2. mindestens 200 Hektoliter reinen Alkohol im Kalenderjahr</w:t>
      </w:r>
    </w:p>
    <w:p>
      <w:r>
        <w:t xml:space="preserve">gewinnt und zusammen mit dem Abfindungsalkohol im Steuerlager zu trinkfertigem Alkohol verarbeitet.</w:t>
      </w:r>
    </w:p>
    <w:p>
      <w:r>
        <w:t xml:space="preserve">(2) Der Steuerlagerinhaber hat die Aufnahme des Alkohols nach amtlich vorgeschriebenem Vordruck anzuzeigen und auf Verlangen des Hauptzollamts die Herkunft des Alkohols als Abfindungsalkohol nachzuweisen. Der Herkunftsnachweis gilt vorbehaltlich gegenteiliger Feststellungen als erbracht, wenn der Steuerlagerinhaber nachweist, dass er oder eine von ihm beauftragte Person den Alkohol von einem Abfindungsbrenner oder Stoffbesitzer als unter Abfindung hergestellt aufgekauft hat. Das Hauptzollamt kann nähere Anordnungen zur Anzeige- und Nachweispflicht nach Satz 1 und Satz 2 treffen. Es kann auch den Herkunftsnachweis eines anderen Aufkäufers anerkennen, wenn dieser den Abfindungsalkohol ausschließlich von Abfindungsbrennern oder Stoffbesitzern erwirbt und Steuerbelange dem nicht entgegenstehen.</w:t>
      </w:r>
    </w:p>
    <w:p>
      <w:r>
        <w:t xml:space="preserve">(3) Alkohol darf aus dem Steuerlager nur dann unter Steueraussetzung befördert werden, wenn sich eine entsprechende Menge Alkohol gleicher Art buchmäßig im Steuerlager befindet, der nicht Abfindungsalkohol ist und der die gleiche Qualität besitzt wie der zu befördernde Alkohol.</w:t>
      </w:r>
    </w:p>
    <w:p>
      <w:r>
        <w:t xml:space="preserve">(4) Das Hauptzollamt ordnet zur Durchführung der Absätze 1 und 3 eine besondere Lagerbuchführung an.</w:t>
      </w:r>
    </w:p>
    <w:p>
      <w:r>
        <w:rPr>
          <w:color w:val="555555"/>
          <w:sz w:val="17"/>
        </w:rPr>
        <w:t xml:space="preserve">Zitiervorschlag: § 15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