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AlkStV — Bestandsaufnahme im Steuerlager</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Steuerlagerinhaber hat einmal jährlich im Steuerlager eine Bestandsaufnahme durchzuführen und innerhalb eines Monats nach Abschluss der Bestandsaufnahme beim Hauptzollamt den Soll- und den Istbestand nach amtlich vorgeschriebenem Vordruck (Bestandsanmeldung) anzumelden und dabei zu Mengenabweichungen Stellung zu nehmen. Ist der Steuerlagerinhaber Hersteller von Alkohol zu Trinkzwecken, hat er eine Bestandsanmeldung sowohl für den Herstellungsbereich als auch für die Fertigwarenlagerung abzugeben. Das Hauptzollamt kann Ausnahmen zulassen, wenn Steuerbelange nicht beeinträchtigt werden. Der Steuerlagerinhaber hat den Beginn der Bestandsaufnahme dem Hauptzollamt spätestens drei Wochen im Voraus anzuzeigen.</w:t>
      </w:r>
    </w:p>
    <w:p>
      <w:r>
        <w:t xml:space="preserve">(2) Auf Anordnung des Hauptzollamts sind die Bestände im Steuerlager amtlich festzustellen. Der Steuerlagerinhaber hat dazu auf Verlangen des Hauptzollamts die Bestände nach amtlich vorgeschriebenem Vordruck anzumelden und an der Bestandsaufnahme teilzunehmen. Der Steuerlagerinhaber hat dafür zu sorgen, dass die Bestände mit möglichst geringem Aufwand festgestellt werden können. Kann das Hauptzollamt die Alkoholmenge nicht feststellen, hat sie der Steuerlagerinhaber auf seine Kosten zu ermitteln.</w:t>
      </w:r>
    </w:p>
    <w:p>
      <w:r>
        <w:t xml:space="preserve">(3) Das Hauptzollamt befreit Inhaber von Versuchs- und Lehrbetrieben von den Verpflichtungen nach Absatz 1, wenn sichergestellt ist, dass Alkoholerzeugnisse dort ausschließlich zu Versuchs- oder Unterrichtszwecken hergestellt und im Rahmen dieser Zwecke verbraucht oder vernichtet werden.</w:t>
      </w:r>
    </w:p>
    <w:p>
      <w:r>
        <w:rPr>
          <w:color w:val="555555"/>
          <w:sz w:val="17"/>
        </w:rPr>
        <w:t xml:space="preserve">Zitiervorschlag: § 12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