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AlkStV — Vollständige Zerstörung, unwiederbringlicher Gesamt- oder Teilverlust und Vernichtung</w:t>
      </w:r>
    </w:p>
    <w:p>
      <w:r>
        <w:rPr>
          <w:color w:val="555555"/>
          <w:sz w:val="18"/>
        </w:rPr>
        <w:t xml:space="preserve">Alkoholsteuerverordnung</w:t>
      </w:r>
    </w:p>
    <w:p>
      <w:r>
        <w:rPr>
          <w:color w:val="555555"/>
          <w:sz w:val="18"/>
        </w:rPr>
        <w:t xml:space="preserve">Stand: 13.02.2023 (konsolidierte Textfassung, kein amtliches Inkrafttretensdatum)</w:t>
      </w:r>
    </w:p>
    <w:p>
      <w:r>
        <w:t xml:space="preserve">(1) Sind Alkoholerzeugnisse unbeabsichtigt vollständig zerstört worden oder vollständig oder teilweise unwiederbringlich verloren gegangen, hat der Steuerlagerinhaber dies dem Hauptzollamt unverzüglich anzuzeigen und anhand betrieblicher Unterlagen hinreichend nachzuweisen. Das Hauptzollamt kann hinsichtlich der Anzeigepflicht und der Nachweisführung Vereinfachungen zulassen und Anordnungen treffen.</w:t>
      </w:r>
    </w:p>
    <w:p>
      <w:r>
        <w:t xml:space="preserve">(2) Beabsichtigt der Steuerlagerinhaber Alkoholerzeugnisse nach § 27 Absatz 2 Nummer 4 des Gesetzes zu vernichten, so hat er dies eine Woche im Voraus dem Hauptzollamt anzuzeigen. Die Vernichtung hat er anhand betrieblicher Unterlagen hinreichend nachzuweisen. Das Hauptzollamt kann hinsichtlich der Anzeigepflicht und der Nachweisführung Vereinfachungen zulassen und Anordnungen treffen. Die Vernichtung ist amtlich zu überwachen, soweit das Hauptzollamt nicht darauf verzichtet. Außersteuerliche Vorschriften bleiben unberührt.</w:t>
      </w:r>
    </w:p>
    <w:p>
      <w:r>
        <w:t xml:space="preserve">(3) Die Absätze 1 und 2 gelten für die beabsichtigte Zerstörung von Alkoholerzeugnissen nach § 18 Absatz 3 Satz 2 des Gesetzes entsprechend. Die Anzeige der beabsichtigen Zerstörung ist in den Fällen, in denen die Alkoholerzeugnisse unter Steueraussetzung befördert werden, durch den Versender abzugeben. Soweit die vorgelegten Nachweise anerkannt werden, wird die nach § 41 für die Beförderung geleistete Sicherheit freigegeben.</w:t>
      </w:r>
    </w:p>
    <w:p>
      <w:r>
        <w:rPr>
          <w:color w:val="555555"/>
          <w:sz w:val="17"/>
        </w:rPr>
        <w:t xml:space="preserve">Zitiervorschlag: § 11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