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AlkStV — Begriffsbestimmungen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Im Sinne dieser Verordnung ist:</w:t>
      </w:r>
    </w:p>
    <w:p>
      <w:pPr>
        <w:ind w:left="420"/>
      </w:pPr>
      <w:r>
        <w:t xml:space="preserve">1. EMCS-Durchführungsverordnung: die Verordnung (EG) Nr. 684/2009 der Kommission vom 24. Juli 2009 zur Durchführung der Richtlinie 2008/118/EG des Rates in Bezug auf die EDV-gestützten Verfahren für die Beförderung verbrauchsteuerpflichtiger Waren unter Steueraussetzung (ABl. L 197 vom 29.7.2009, S. 24), die zuletzt durch die Durchführungsverordnung (EU) 2020/1811 (ABl. L 404 vom 2.12.2020, S. 3) geändert worden ist, in der jeweils geltenden Fassung;</w:t>
      </w:r>
    </w:p>
    <w:p>
      <w:pPr>
        <w:ind w:left="420"/>
      </w:pPr>
      <w:r>
        <w:t xml:space="preserve">2. EDV-gestütztes Beförderungs- und Kontrollsystem: ein System, über das Personen, die an Beförderungen von Alkoholerzeugnissen unter Steueraussetzung oder an Lieferungen von Alkoholerzeugnissen zu gewerblichen Zwecken nach § 24 des Gesetzes beteiligt sind, elektronische Meldungen über Bewegungen von Alkoholerzeugnissen mit der Zollverwaltung austauschen, um diese Bewegungen zu kontrollieren;</w:t>
      </w:r>
    </w:p>
    <w:p>
      <w:pPr>
        <w:ind w:left="420"/>
      </w:pPr>
      <w:r>
        <w:t xml:space="preserve">3. elektronisches Verwaltungsdokument: Entwurf des elektronischen Verwaltungsdokuments nach amtlich vorgeschriebenem Datensatz, der mit einem eindeutigen Referenzcode versehen ist;</w:t>
      </w:r>
    </w:p>
    <w:p>
      <w:pPr>
        <w:ind w:left="420"/>
      </w:pPr>
      <w:r>
        <w:t xml:space="preserve">4. Begleitdokument: begleitendes Verwaltungsdokument nach amtlich vorgeschriebenem Vordruck;</w:t>
      </w:r>
    </w:p>
    <w:p>
      <w:pPr>
        <w:ind w:left="420"/>
      </w:pPr>
      <w:r>
        <w:t xml:space="preserve">5. vereinfachtes elektronisches Verwaltungsdokument: Entwurf des vereinfachten elektronischen Verwaltungsdokuments nach amtlich vorgeschriebenem Datensatz, der mit einem eindeutigen Referenzcode versehen ist;</w:t>
      </w:r>
    </w:p>
    <w:p>
      <w:pPr>
        <w:ind w:left="420"/>
      </w:pPr>
      <w:r>
        <w:t xml:space="preserve">6. Ausfallverfahren: Verfahren, das zu Beginn, während oder nach Beendigung der Beförderung von Alkoholerzeugnissen unter Steueraussetzung oder der Lieferung zu gewerblichen Zwecken von Alkoholerzeugnissen nach § 24 des Gesetzes angewendet wird, wenn das EDV-gestützte Beförderungs- und Kontrollsystem nicht zur Verfügung steht;</w:t>
      </w:r>
    </w:p>
    <w:p>
      <w:pPr>
        <w:ind w:left="420"/>
      </w:pPr>
      <w:r>
        <w:t xml:space="preserve">7. Durchführungsverordnung zum Unionszollkodex: die Durchführungsverordnung (EU) 2015/2447 der Kommission vom 24. November 2015 mit Einzelheiten zur Umsetzung von Bestimmungen der Verordnung (EU) Nr. 952/2013 des Europäischen Parlaments und des Rates zur Festlegung des Zollkodex der Union (ABl. L 343 vom 29.12.2015, S. 558; L 101 vom 13.4.2017, S. 166; L 157 vom 20.6.2018, S. 27; L 387 vom 19.11.2020, S. 31), die zuletzt durch die Durchführungsverordnung (EU) 2021/235 (ABl. L 63 vom 23.2.2021, S. 386) geändert worden ist, in der jeweils geltenden Fassung;</w:t>
      </w:r>
    </w:p>
    <w:p>
      <w:pPr>
        <w:ind w:left="420"/>
      </w:pPr>
      <w:r>
        <w:t xml:space="preserve">8. Ausgangszollstelle: die nach Artikel 329 der Durchführungsverordnung zum Unionszollkodex definierte Zollstelle;</w:t>
      </w:r>
    </w:p>
    <w:p>
      <w:pPr>
        <w:ind w:left="420"/>
      </w:pPr>
      <w:r>
        <w:t xml:space="preserve">9. selbstgewonnene Rohstoffe: Stoffe, die von einem Abfindungsbrenner oder von einem Stoffbesitzer als Eigentümer, Nießbraucher oder Pächter geerntet oder von ihm oder seinen Beauftragten gesammelt oder in einem von ihm für eigene Rechnung geführten Betrieb erzeugt worden sind;</w:t>
      </w:r>
    </w:p>
    <w:p>
      <w:pPr>
        <w:ind w:left="420"/>
      </w:pPr>
      <w:r>
        <w:t xml:space="preserve">10. Abfindungsalkohol: Alkohol, der in einer Abfindungsbrennerei gewonnen wird und direkt mit der Gewinnung in den steuerrechtlich freien Verkehr überführt wird;</w:t>
      </w:r>
    </w:p>
    <w:p>
      <w:pPr>
        <w:ind w:left="420"/>
      </w:pPr>
      <w:r>
        <w:t xml:space="preserve">11. Delegierte Verordnung zum Unionszollkodex: die Delegierte Verordnung (EU) 2015/2446 der Kommission vom 28. Juli 2015 zur Ergänzung der Verordnung (EU) Nr. 952/2013 des Europäischen Parlaments und des Rates mit Einzelheiten zur Präzisierung von Bestimmungen des Zollkodex der Union (ABl. L 343 vom 29.12.2015, S. 1; L 87 vom 2.4.2016, S. 35; L 264 vom 30.9.2016, S. 44; L 101 vom 13.4.2017, S. 164), die zuletzt durch die Delegierte Verordnung (EU) 2021/234 (ABl. L 63 vom 23.2.2021, S. 1) geändert worden ist, in der jeweils geltenden Fassung.</w:t>
      </w:r>
    </w:p>
    <w:p>
      <w:r>
        <w:rPr>
          <w:color w:val="555555"/>
          <w:sz w:val="17"/>
        </w:rPr>
        <w:t xml:space="preserve">Zitiervorschlag: § 1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