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AlkStG — Abfindungsbrennerei</w:t>
      </w:r>
    </w:p>
    <w:p>
      <w:r>
        <w:rPr>
          <w:color w:val="555555"/>
          <w:sz w:val="18"/>
        </w:rPr>
        <w:t xml:space="preserve">Alkoholsteuergesetz</w:t>
      </w:r>
    </w:p>
    <w:p>
      <w:r>
        <w:rPr>
          <w:color w:val="555555"/>
          <w:sz w:val="18"/>
        </w:rPr>
        <w:t xml:space="preserve">Stand: 10.06.2019 (konsolidierte Textfassung, kein amtliches Inkrafttretensdatum)</w:t>
      </w:r>
    </w:p>
    <w:p>
      <w:r>
        <w:t xml:space="preserve">(1) Abfindungsbrennereien sind Orte, an denen Alkohol abweichend von § 4 ohne Verschlüsse ausschließlich aus Obst, einschließlich Obstmost und Obsttrester, Beeren, Wein, einschließlich Weinhefe und Weintrester, Wurzeln, einschließlich deren Knollen, Topinambur, Getreide, Bier, Kartoffeln oder den jeweiligen Rückständen davon gewonnen und gereinigt werden darf. Die Jahreserzeugung in einer Abfindungsbrennerei darf 3 hl A pro Kalenderjahr nicht überschreiten. Der in einer Abfindungsbrennerei gewonnene Alkohol darf nicht zu gewerblichen Zwecken in einen anderen Mitgliedstaat, ein Drittland oder ein Drittgebiet befördert werden.</w:t>
      </w:r>
    </w:p>
    <w:p>
      <w:r>
        <w:t xml:space="preserve">(2) Als Jahreserzeugung nach Absatz 1 gilt der gesamte in einer Abfindungsbrennerei innerhalb eines Kalenderjahres gewonnene Alkohol. Bei der Ermittlung der Jahreserzeugung bleibt der durch Stoffbesitzer (§ 11) in der Abfindungsbrennerei gewonnene Alkohol unberücksichtigt.</w:t>
      </w:r>
    </w:p>
    <w:p>
      <w:r>
        <w:t xml:space="preserve">(3) In einer Abfindungsbrennerei wird der gewonnene Alkohol pauschal aus der Menge der Rohstoffe, die zur Alkoholgewinnung eingesetzt wird, und aus einem festgelegten amtlichen Ausbeutesatz ermittelt.</w:t>
      </w:r>
    </w:p>
    <w:p>
      <w:r>
        <w:t xml:space="preserve">(4) Das Bundesministerium der Finanzen wird ermächtigt, durch Rechtsverordnung ohne Zustimmung des Bundesrates, zur Sicherung des Steueraufkommens und zur Wahrung der Gleichmäßigkeit der Besteuerung, Vorschriften zu den Absätzen 1 bis 3 zu erlassen und dabei insbesondere</w:t>
      </w:r>
    </w:p>
    <w:p>
      <w:pPr>
        <w:ind w:left="420"/>
      </w:pPr>
      <w:r>
        <w:t xml:space="preserve">1. zu bestimmen, welche Räume, Flächen, Anlagen und Betriebsteile zu einer Abfindungsbrennerei gehören und welche baulichen Voraussetzungen zu erfüllen sind,</w:t>
      </w:r>
    </w:p>
    <w:p>
      <w:pPr>
        <w:ind w:left="420"/>
      </w:pPr>
      <w:r>
        <w:t xml:space="preserve">2. die Bauart, die Größe und andere technische Beschaffenheiten sowie die Anforderung an die Aufstellung der Brenngeräte vorzuschreiben, die in einer Abfindungsbrennerei verwendet werden dürfen,</w:t>
      </w:r>
    </w:p>
    <w:p>
      <w:pPr>
        <w:ind w:left="420"/>
      </w:pPr>
      <w:r>
        <w:t xml:space="preserve">3. im Einvernehmen mit dem Bundesministerium für Ernährung und Landwirtschaft die in Absatz 1 genannten Rohstoffe näher zu bestimmen sowie den Kreis der zulässigen Rohstoffe zu erweitern oder einzuschränken,</w:t>
      </w:r>
    </w:p>
    <w:p>
      <w:pPr>
        <w:ind w:left="420"/>
      </w:pPr>
      <w:r>
        <w:t xml:space="preserve">4. die Voraussetzungen festzulegen und das Verfahren für die Fälle zu regeln, in denen in der Abfindungsbrennerei andere Rohstoffe verarbeitet werden als die, die durch den Abfindungsbrenner in seinem landwirtschaftlichen Betrieb selbst gewonnen worden sind (Lohnbrennen),</w:t>
      </w:r>
    </w:p>
    <w:p>
      <w:pPr>
        <w:ind w:left="420"/>
      </w:pPr>
      <w:r>
        <w:t xml:space="preserve">5. die Fälle zu bestimmen, in denen der von einem Abfindungsbrenner in seiner Abfindungsbrennerei gewonnene Alkohol als durch einen anderen Abfindungsbrenner in dessen Abfindungsbrennerei gewonnen gilt (vereinfachtes Lohnbrennen), sowie die Voraussetzungen und das Verfahren für das vereinfachte Lohnbrennen zu bestimmen und</w:t>
      </w:r>
    </w:p>
    <w:p>
      <w:pPr>
        <w:ind w:left="420"/>
      </w:pPr>
      <w:r>
        <w:t xml:space="preserve">6. das Verfahren zur Festlegung und Veröffentlichung der amtlichen Ausbeutesätze einschließlich des Probe- und Kontrollbrennens zu bestimmen.</w:t>
      </w:r>
    </w:p>
    <w:p>
      <w:r>
        <w:rPr>
          <w:color w:val="555555"/>
          <w:sz w:val="17"/>
        </w:rPr>
        <w:t xml:space="preserve">Zitiervorschlag: § 9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