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AlkStG — Registrierte Versender</w:t>
      </w:r>
    </w:p>
    <w:p>
      <w:r>
        <w:rPr>
          <w:color w:val="555555"/>
          <w:sz w:val="18"/>
        </w:rPr>
        <w:t xml:space="preserve">Alkoholsteuergesetz</w:t>
      </w:r>
    </w:p>
    <w:p>
      <w:r>
        <w:rPr>
          <w:color w:val="555555"/>
          <w:sz w:val="18"/>
        </w:rPr>
        <w:t xml:space="preserve">Stand: 10.06.2019 (konsolidierte Textfassung, kein amtliches Inkrafttretensdatum)</w:t>
      </w:r>
    </w:p>
    <w:p>
      <w:r>
        <w:t xml:space="preserve">(1) Registrierte Versender sind Personen, die Alkoholerzeugnisse vom Ort der Einfuhr unter Steueraussetzung versenden dürfen.</w:t>
      </w:r>
    </w:p>
    <w:p>
      <w:r>
        <w:t xml:space="preserve">(2) Registrierte Versender bedürfen einer Erlaubnis. Sie wird auf Antrag unter Widerrufsvorbehalt Personen erteilt, gegen deren steuerliche Zuverlässigkeit keine Bedenken bestehen und die, soweit sie nach dem Handelsgesetzbuch oder der Abgabenordnung dazu verpflichtet sind, ordnungsmäßig kaufmännische Bücher führen und rechtzeitig Jahresabschlüsse aufstellen. Die Erlaubnis ist bei Beförderungen nach § 15 Absatz 1 Nummer 1 davon abhängig, dass eine Sicherheit nach § 15 Absatz 2 geleistet worden ist.</w:t>
      </w:r>
    </w:p>
    <w:p>
      <w:r>
        <w:t xml:space="preserve">(3) Die Erlaubnis ist zu widerrufen, wenn eine der in Absatz 2 Satz 2 genannten Voraussetzungen nicht mehr erfüllt ist oder eine geleistete Sicherheit nicht mehr ausreicht.</w:t>
      </w:r>
    </w:p>
    <w:p>
      <w:r>
        <w:t xml:space="preserve">(4) Das Bundesministerium der Finanzen wird ermächtigt, durch Rechtsverordnung ohne Zustimmung des Bundesrates Vorschriften zu den Absätzen 1 bis 3, insbesondere zum Verfahren der Erlaubnis und zur Sicherheitsleistung, zu erlassen und dabei zur Vorbeugung des Steuermissbrauchs und zur Sicherung des Steueraufkommens vorzusehen, den Versand vom Ort der Einfuhr nur dann zuzulassen, wenn dem steuerliche Belange nicht entgegenstehen.</w:t>
      </w:r>
    </w:p>
    <w:p>
      <w:r>
        <w:rPr>
          <w:color w:val="555555"/>
          <w:sz w:val="17"/>
        </w:rPr>
        <w:t xml:space="preserve">Zitiervorschlag: § 7 AlkStG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