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AlkStG — Steuerlagerinhaber</w:t>
      </w:r>
    </w:p>
    <w:p>
      <w:r>
        <w:rPr>
          <w:color w:val="555555"/>
          <w:sz w:val="18"/>
        </w:rPr>
        <w:t xml:space="preserve">Alkoholsteuergesetz</w:t>
      </w:r>
    </w:p>
    <w:p>
      <w:r>
        <w:rPr>
          <w:color w:val="555555"/>
          <w:sz w:val="18"/>
        </w:rPr>
        <w:t xml:space="preserve">Stand: 10.06.2019 (konsolidierte Textfassung, kein amtliches Inkrafttretensdatum)</w:t>
      </w:r>
    </w:p>
    <w:p>
      <w:r>
        <w:t xml:space="preserve">(1) Steuerlagerinhaber sind Personen, die ein oder mehrere Steuerlager betreiben. Sie bedürfen einer Erlaubnis. Die Erlaubnis wird auf Antrag unter Widerrufsvorbehalt Personen erteilt, gegen deren steuerliche Zuverlässigkeit keine Bedenken bestehen und die, soweit sie nach dem Handelsgesetzbuch oder der Abgabenordnung dazu verpflichtet sind, ordnungsmäßig kaufmännische Bücher führen und rechtzeitig Jahresabschlüsse aufstellen. Sind Anzeichen für eine Gefährdung der Steuer erkennbar, ist die Erlaubnis von einer Sicherheit in Höhe des Steuerwerts der Menge reinen Alkohols abhängig, die voraussichtlich im Jahresdurchschnitt in 1,5 Monaten unvergällt in den steuerrechtlich freien Verkehr überführt wird. Der Steuerwert wird nach dem Regelsatz (§ 2 Absatz 1) bemessen.</w:t>
      </w:r>
    </w:p>
    <w:p>
      <w:r>
        <w:t xml:space="preserve">(2) Die Erlaubnis zur Gewinnung von Alkohol wird erst erteilt, wenn der zur Gewinnung von Alkohol dienende Teil des Steuerlagers verschlusssicher eingerichtet ist. Der Steuerlagerinhaber ist verpflichtet, diesen Teil des Steuerlagers auf seine Kosten verschlusssicher einzurichten und zu erhalten.</w:t>
      </w:r>
    </w:p>
    <w:p>
      <w:r>
        <w:t xml:space="preserve">(3) Die Erlaubnis ist zu widerrufen, wenn die in Absatz 1 Satz 3 genannte Voraussetzung nicht mehr erfüllt ist oder eine angeforderte Sicherheit nicht geleistet wird. Die Erlaubnis kann widerrufen werden, wenn eine geleistete Sicherheit nicht mehr ausreicht.</w:t>
      </w:r>
    </w:p>
    <w:p>
      <w:r>
        <w:t xml:space="preserve">(4) Das Hauptzollamt kann den Betrieb einer Verschlussbrennerei untersagen, solange sie nicht verschlusssicher eingerichtet ist. Der Steuerlagerinhaber hat die amtlichen Anordnungen zur verschlusssicheren Einrichtung zu befolgen. Das Hauptzollamt kann die vorübergehende Einstellung des Betriebs einer Verschlussbrennerei anordnen, wenn infolge einer Betriebsstörung oder einer Verletzung der Brennereieinrichtung Steuerbelange gefährdet sind.</w:t>
      </w:r>
    </w:p>
    <w:p>
      <w:r>
        <w:t xml:space="preserve">(5) Das Bundesministerium der Finanzen wird ermächtigt, durch Rechtsverordnung ohne Zustimmung des Bundesrates</w:t>
      </w:r>
    </w:p>
    <w:p>
      <w:pPr>
        <w:ind w:left="420"/>
      </w:pPr>
      <w:r>
        <w:t xml:space="preserve">1. Vorschriften zu den Absätzen 1 bis 4 zu erlassen und dabei insbesondere zur Sicherung des Steueraufkommens sowie zur Wahrung der Gleichmäßigkeit der Besteuerung</w:t>
      </w:r>
    </w:p>
    <w:p>
      <w:pPr>
        <w:ind w:left="780"/>
      </w:pPr>
      <w:r>
        <w:t xml:space="preserve">a) das Erlaubnis- und Steuerlagerverfahren einschließlich der Sicherheitsleistung zu regeln und dabei insbesondere vorzusehen, in der Erlaubnis bestimmte Handlungen zuzulassen und die Handlungen näher zu umschreiben,</w:t>
      </w:r>
    </w:p>
    <w:p>
      <w:pPr>
        <w:ind w:left="780"/>
      </w:pPr>
      <w:r>
        <w:t xml:space="preserve">b) eine Mindestumschlagsmenge und eine Mindestlagerdauer vorzusehen,</w:t>
      </w:r>
    </w:p>
    <w:p>
      <w:pPr>
        <w:ind w:left="780"/>
      </w:pPr>
      <w:r>
        <w:t xml:space="preserve">c) bei Gefährdung der Steuerbelange Sicherheit bis zur Höhe des Steuerwerts des tatsächlichen Lagerbestands zu verlangen oder das Steuerlager unter amtlichen Verschluss zu nehmen,</w:t>
      </w:r>
    </w:p>
    <w:p>
      <w:pPr>
        <w:ind w:left="780"/>
      </w:pPr>
      <w:r>
        <w:t xml:space="preserve">d) Richtwerte für Lagerungs- und Verarbeitungsverlust festzulegen, hierüber Erklärungen des Steuerlagerinhabers zu verlangen und anzuordnen, dass für den die Richtwerte überschreitenden Verlust widerleglich vermutet wird, dass bezüglich dieser Mengen eine Überführung in den steuerrechtlich freien Verkehr erfolgt ist,</w:t>
      </w:r>
    </w:p>
    <w:p>
      <w:pPr>
        <w:ind w:left="780"/>
      </w:pPr>
      <w:r>
        <w:t xml:space="preserve">e) vorzusehen, in welcher Art und Weise der zur Gewinnung von Alkohol dienende Teil des Steuerlagers verschlusssicher einzurichten ist,</w:t>
      </w:r>
    </w:p>
    <w:p>
      <w:pPr>
        <w:ind w:left="780"/>
      </w:pPr>
      <w:r>
        <w:t xml:space="preserve">f) festzulegen, dass Alkoholerzeugnisse als im Steuerlager hergestellt gelten, wenn diese in einem betriebswirtschaftlich nicht auf die Herstellung von Alkoholerzeugnissen abgestellten Verfahren anfallen (Zwangsanfall), und hierzu das Verfahren festzulegen,</w:t>
      </w:r>
    </w:p>
    <w:p>
      <w:pPr>
        <w:ind w:left="420"/>
      </w:pPr>
      <w:r>
        <w:t xml:space="preserve">2. zur Erleichterung der Herstellung trinkfertiger Alkohole bei wirtschaftlichem Bedürfnis zuzulassen, dass Alkohol, ausgenommen der aus Traubenwein, der nachweislich in einer Abfindungsbrennerei erzeugt wurde, in ein Steuerlager aufgenommen werden kann, dessen Inhaber eine Verschlussbrennerei regelmäßig betreibt, und dass für diesen Alkohol eine um 1 Prozent gekürzte gleiche Alkoholmenge steuerfrei in den freien Verkehr überführt werden kann, sowie die notwendigen steuerlichen Sicherungsmaßnahmen anzuordnen.</w:t>
      </w:r>
    </w:p>
    <w:p>
      <w:r>
        <w:rPr>
          <w:color w:val="555555"/>
          <w:sz w:val="17"/>
        </w:rPr>
        <w:t xml:space="preserve">Zitiervorschlag: § 5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