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AlkStG — Geschäftsstatistik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näherer Bestimmung des Bundesministeriums der Finanzen stellen die Hauptzollämter für statistische Zwecke Erhebungen an und teilen die Ergebnisse in anonymisierter Form dem Statistischen Bundesamt zur Auswertung mit.</w:t>
      </w:r>
    </w:p>
    <w:p>
      <w:r>
        <w:t xml:space="preserve">(2) Die Bundesfinanzbehörden können auch bereits aufbereitete Daten dem Statistischen Bundesamt zur Darstellung und Veröffentlichung für allgemeine Zwecke in anonymisierter Form übermitteln.</w:t>
      </w:r>
    </w:p>
    <w:p>
      <w:r>
        <w:rPr>
          <w:color w:val="555555"/>
          <w:sz w:val="17"/>
        </w:rPr>
        <w:t xml:space="preserve">Zitiervorschlag: § 35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