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AlkStG — Sicherstellung</w:t>
      </w:r>
    </w:p>
    <w:p>
      <w:r>
        <w:rPr>
          <w:color w:val="555555"/>
          <w:sz w:val="18"/>
        </w:rPr>
        <w:t xml:space="preserve">Alkoholsteuergesetz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Das Hauptzollamt kann in entsprechender Anwendung des § 215 der Abgabenordnung Folgendes sicherstellen:</w:t>
      </w:r>
    </w:p>
    <w:p>
      <w:pPr>
        <w:ind w:left="420"/>
      </w:pPr>
      <w:r>
        <w:t xml:space="preserve">1. Alkoholerzeugnisse, die unerlaubt eingeführt worden sind, und deren Umschließungen;</w:t>
      </w:r>
    </w:p>
    <w:p>
      <w:pPr>
        <w:ind w:left="420"/>
      </w:pPr>
      <w:r>
        <w:t xml:space="preserve">2. Alkoholerzeugnisse, deren Herkunft oder Erwerb nicht nachgewiesen werden kann, und deren Umschließungen;</w:t>
      </w:r>
    </w:p>
    <w:p>
      <w:pPr>
        <w:ind w:left="420"/>
      </w:pPr>
      <w:r>
        <w:t xml:space="preserve">3. bewegliche Sachen, hinsichtlich derer gegen § 32 Absatz 1 oder Absatz 2 verstoßen worden ist; als bewegliche Sachen gelten auch Geräte, die mit dem Grund und Boden fest verbunden sind;</w:t>
      </w:r>
    </w:p>
    <w:p>
      <w:pPr>
        <w:ind w:left="420"/>
      </w:pPr>
      <w:r>
        <w:t xml:space="preserve">4. Alkoholerzeugnisse, wenn ein Amtsträger diese im Steuergebiet in Mengen und unter Umständen vorfindet, die auf eine Verwendung für gewerbliche Zwecke hinweisen und für die der Nachweis nicht geführt werden kann, dass</w:t>
      </w:r>
    </w:p>
    <w:p>
      <w:pPr>
        <w:ind w:left="780"/>
      </w:pPr>
      <w:r>
        <w:t xml:space="preserve">a) die Alkoholerzeugnisse sich in einem in § 3 Nummer 3 genannten Verfahren befinden,</w:t>
      </w:r>
    </w:p>
    <w:p>
      <w:pPr>
        <w:ind w:left="780"/>
      </w:pPr>
      <w:r>
        <w:t xml:space="preserve">b) die Alkoholerzeugnisse im Steuergebiet ordnungsgemäß versteuert wurden oder ordnungsgemäß zur Versteuerung anstehen oder</w:t>
      </w:r>
    </w:p>
    <w:p>
      <w:pPr>
        <w:ind w:left="780"/>
      </w:pPr>
      <w:r>
        <w:t xml:space="preserve">c) es sich um eine Durchfuhr von Alkoholerzeugnissen des steuerrechtlich freien Verkehrs oder um Alkoholerzeugnisse handelt, die sich an Bord eines zwischen dem Steuergebiet und einem anderen Mitgliedstaat verkehrenden Wasser- oder Luftfahrzeugs befinden, aber nicht im Steuergebiet zum Verkauf stehen.</w:t>
      </w:r>
    </w:p>
    <w:p>
      <w:r>
        <w:t xml:space="preserve">(2) § 216 der Abgabenordnung findet entsprechende Anwendung.</w:t>
      </w:r>
    </w:p>
    <w:p>
      <w:r>
        <w:rPr>
          <w:color w:val="555555"/>
          <w:sz w:val="17"/>
        </w:rPr>
        <w:t xml:space="preserve">Zitiervorschlag: § 34 AlkStG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https://recht.nulegal.eu/gesetze/AlkStG/34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