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AlkStG — Steueraufsicht, Überwachung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Unbeschadet des § 209 Absatz 1 und 2 der Abgabenordnung unterliegen im Steuergebiet der Steueraufsicht:</w:t>
      </w:r>
    </w:p>
    <w:p>
      <w:pPr>
        <w:ind w:left="420"/>
      </w:pPr>
      <w:r>
        <w:t xml:space="preserve">1. Betriebe, Unternehmen oder Personen, die</w:t>
      </w:r>
    </w:p>
    <w:p>
      <w:pPr>
        <w:ind w:left="780"/>
      </w:pPr>
      <w:r>
        <w:t xml:space="preserve">a) Stoffe, die für die Herstellung von Alkoholerzeugnissen geeignet sind, herstellen, befördern, lagern, weiterverarbeiten oder vertreiben,</w:t>
      </w:r>
    </w:p>
    <w:p>
      <w:pPr>
        <w:ind w:left="780"/>
      </w:pPr>
      <w:r>
        <w:t xml:space="preserve">b) Brenngeräte oder sonstige zur Gewinnung, Herstellung, Reinigung oder Entgällung von Alkohol geeignete Vorrichtungen oder Stoffe herstellen, besitzen, erwerben, befördern, abgeben oder</w:t>
      </w:r>
    </w:p>
    <w:p>
      <w:pPr>
        <w:ind w:left="780"/>
      </w:pPr>
      <w:r>
        <w:t xml:space="preserve">c) im alkoholhaltigen Gärungsverfahren Hefe oder andere Stoffe ohne gleichzeitige Alkoholgewinnung herstellen;</w:t>
      </w:r>
    </w:p>
    <w:p>
      <w:pPr>
        <w:ind w:left="420"/>
      </w:pPr>
      <w:r>
        <w:t xml:space="preserve">2. die Tätigkeit eines Steuervertreters nach § 25 Absatz 2 Satz 6 im Steuergebiet.</w:t>
      </w:r>
    </w:p>
    <w:p>
      <w:r>
        <w:t xml:space="preserve">(2) Alkohol zu Trinkzwecken darf nicht zu einem Preis angeboten, gehandelt oder erworben werden, der niedriger ist als der Regelsteuersatz nach § 2 Absatz 1, der am Tag des Angebots, Handels oder Erwerbs gilt. Satz 1 gilt auch, wenn Kosten, zum Beispiel Reinigungskosten, verrechnet werden.</w:t>
      </w:r>
    </w:p>
    <w:p>
      <w:r>
        <w:t xml:space="preserve">(3) Das Bundesministerium der Finanzen wird ermächtigt, durch Rechtsverordnung ohne Zustimmung des Bundesrates zur Sicherung des Steueraufkommens und zur Wahrung der Gleichmäßigkeit der Besteuerung zu bestimmen, dass Personen, die</w:t>
      </w:r>
    </w:p>
    <w:p>
      <w:pPr>
        <w:ind w:left="420"/>
      </w:pPr>
      <w:r>
        <w:t xml:space="preserve">1. Alkohol zu Trinkzwecken außerhalb des Steuerlagers zu gewerblichen Zwecken herstellen, bearbeiten oder verarbeiten,</w:t>
      </w:r>
    </w:p>
    <w:p>
      <w:pPr>
        <w:ind w:left="420"/>
      </w:pPr>
      <w:r>
        <w:t xml:space="preserve">2. außerhalb des Steuerlagers Großhandel mit Alkoholerzeugnissen treiben oder</w:t>
      </w:r>
    </w:p>
    <w:p>
      <w:pPr>
        <w:ind w:left="420"/>
      </w:pPr>
      <w:r>
        <w:t xml:space="preserve">3. Alkohol, der in einer Abfindungsbrennerei gewonnen wurde, aufkaufen wollen,</w:t>
      </w:r>
    </w:p>
    <w:p>
      <w:r>
        <w:t xml:space="preserve">sich vorher beim Hauptzollamt anzumelden und über die Herstellung, die Bearbeitung oder Verarbeitung und den Handel Aufzeichnungen zu führen haben, sowie hierzu die Einzelheiten und das Verfahren festzulegen.</w:t>
      </w:r>
    </w:p>
    <w:p>
      <w:r>
        <w:rPr>
          <w:color w:val="555555"/>
          <w:sz w:val="17"/>
        </w:rPr>
        <w:t xml:space="preserve">Zitiervorschlag: § 31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