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AlkStG — Sonstige Begriffsbestimmungen</w:t>
      </w:r>
    </w:p>
    <w:p>
      <w:r>
        <w:rPr>
          <w:color w:val="555555"/>
          <w:sz w:val="18"/>
        </w:rPr>
        <w:t xml:space="preserve">Alkoholsteuergesetz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Im Sinn dieses Gesetzes ist oder sind</w:t>
      </w:r>
    </w:p>
    <w:p>
      <w:pPr>
        <w:ind w:left="420"/>
      </w:pPr>
      <w:r>
        <w:t xml:space="preserve">1. Systemrichtlinie: die Richtlinie (EU) 2020/262 des Rates vom 19. Dezember 2019 zur Festlegung des allgemeinen Verbrauchsteuersystems (Neufassung) (ABl. L 58 vom 27.2.2020, S. 4) in der jeweils geltenden Fassung;</w:t>
      </w:r>
    </w:p>
    <w:p>
      <w:pPr>
        <w:ind w:left="420"/>
      </w:pPr>
      <w:r>
        <w:t xml:space="preserve">2. Verfahren der Steueraussetzung: steuerliches Verfahren, das auf die Herstellung, die Bearbeitung, die Verarbeitung, die Lagerung in Steuerlagern sowie die Beförderung von Alkoholerzeugnissen unter Aussetzung der Alkoholsteuer anzuwenden ist;</w:t>
      </w:r>
    </w:p>
    <w:p>
      <w:pPr>
        <w:ind w:left="420"/>
      </w:pPr>
      <w:r>
        <w:t xml:space="preserve">3. steuerrechtlich freier Verkehr: Verkehr, der Alkoholerzeugnisse erfasst, die</w:t>
      </w:r>
    </w:p>
    <w:p>
      <w:pPr>
        <w:ind w:left="780"/>
      </w:pPr>
      <w:r>
        <w:t xml:space="preserve">a) sich in keinem der folgenden Verfahren befinden:</w:t>
      </w:r>
    </w:p>
    <w:p>
      <w:pPr>
        <w:ind w:left="1140"/>
      </w:pPr>
      <w:r>
        <w:t xml:space="preserve">aa) in dem Verfahren der Steueraussetzung nach Nummer 2,</w:t>
      </w:r>
    </w:p>
    <w:p>
      <w:pPr>
        <w:ind w:left="1140"/>
      </w:pPr>
      <w:r>
        <w:t xml:space="preserve">bb) in dem externen Versandverfahren nach Artikel 226 des Unionszollkodex,</w:t>
      </w:r>
    </w:p>
    <w:p>
      <w:pPr>
        <w:ind w:left="1140"/>
      </w:pPr>
      <w:r>
        <w:t xml:space="preserve">cc) in dem Verfahren der Lagerung nach Titel VII Kapitel 3 des Unionszollkodex,</w:t>
      </w:r>
    </w:p>
    <w:p>
      <w:pPr>
        <w:ind w:left="1140"/>
      </w:pPr>
      <w:r>
        <w:t xml:space="preserve">dd) in dem Verfahren der vorübergehenden Verwendung nach Artikel 250 des Unionszollkodex,</w:t>
      </w:r>
    </w:p>
    <w:p>
      <w:pPr>
        <w:ind w:left="1140"/>
      </w:pPr>
      <w:r>
        <w:t xml:space="preserve">ee) in dem Verfahren der aktiven Veredelung nach Artikel 256 des Unionszollkodex und</w:t>
      </w:r>
    </w:p>
    <w:p>
      <w:pPr>
        <w:ind w:left="780"/>
      </w:pPr>
      <w:r>
        <w:t xml:space="preserve">b) nicht der zollamtlichen Überwachung nach Artikel 134 des Unionszollkodex oder dem Verfahren der Truppenverwendung nach dem Truppenzollgesetz vom 19. Mai 2009 (BGBl. I S. 1090), das durch Artikel 8 des Gesetzes vom 15. Juli 2009 (BGBl. I S. 1870) geändert worden ist, in der jeweils geltenden Fassung unterliegen;</w:t>
      </w:r>
    </w:p>
    <w:p>
      <w:pPr>
        <w:ind w:left="420"/>
      </w:pPr>
      <w:r>
        <w:t xml:space="preserve">4. Verbrauchsteuergebiet der Europäischen Union: das Gebiet, in dem die Systemrichtlinie gilt;</w:t>
      </w:r>
    </w:p>
    <w:p>
      <w:pPr>
        <w:ind w:left="420"/>
      </w:pPr>
      <w:r>
        <w:t xml:space="preserve">5. andere Mitgliedstaaten: das Verbrauchsteuergebiet der Europäischen Union ohne das Steuergebiet;</w:t>
      </w:r>
    </w:p>
    <w:p>
      <w:pPr>
        <w:ind w:left="420"/>
      </w:pPr>
      <w:r>
        <w:t xml:space="preserve">6. Drittgebiete: die Gebiete nach Artikel 3 Nummer 4 der Systemrichtlinie;</w:t>
      </w:r>
    </w:p>
    <w:p>
      <w:pPr>
        <w:ind w:left="420"/>
      </w:pPr>
      <w:r>
        <w:t xml:space="preserve">7. Drittländer: die Gebiete nach Artikel 3 Nummer 5 der Systemrichtlinie;</w:t>
      </w:r>
    </w:p>
    <w:p>
      <w:pPr>
        <w:ind w:left="420"/>
      </w:pPr>
      <w:r>
        <w:t xml:space="preserve">8. Zollgebiet der Union: das Gebiet nach Artikel 4 des Unionszollkodex;</w:t>
      </w:r>
    </w:p>
    <w:p>
      <w:pPr>
        <w:ind w:left="420"/>
      </w:pPr>
      <w:r>
        <w:t xml:space="preserve">9. Einfuhr: die Überlassung von Alkoholerzeugnissen zum zollrechtlich freien Verkehr im Steuergebiet gemäß Artikel 201 des Unionszollkodex; dies gilt sinngemäß für den Eingang von Alkoholerzeugnissen aus einem der in Artikel 4 Absatz 2 der Systemrichtlinie aufgeführten Gebiete in das Steuergebiet;</w:t>
      </w:r>
    </w:p>
    <w:p>
      <w:pPr>
        <w:ind w:left="420"/>
      </w:pPr>
      <w:r>
        <w:t xml:space="preserve">10. unrechtmäßiger Eingang: liegt vor, wenn für Alkoholerzeugnisse, die nicht gemäß Artikel 201 des Unionszollkodex in den zollrechtlich freien Verkehr überführt worden sind, nach Artikel 79 Absatz 1 des Unionszollkodex im Steuergebiet eine Einfuhrzollschuld entstanden ist oder entstanden wäre, sofern sie zollpflichtig gewesen wären; dies gilt sinngemäß für den Eingang von Alkoholerzeugnissen aus einem der in Artikel 4 Absatz 2 der Systemrichtlinie aufgeführten Gebiete in das Steuergebiet;</w:t>
      </w:r>
    </w:p>
    <w:p>
      <w:pPr>
        <w:ind w:left="420"/>
      </w:pPr>
      <w:r>
        <w:t xml:space="preserve">11. Ort der Einfuhr: der Ort, an dem die Alkoholerzeugnisse nach Artikel 201 des Unionszollkodex in den zollrechtlich freien Verkehr überführt werden; beim Eingang aus Gebieten des Artikels 4 Absatz 2 der Systemrichtlinie der Ort, an dem die Alkoholerzeugnisse in sinngemäßer Anwendung von Artikel 139 des Unionszollkodex zu gestellen sind;</w:t>
      </w:r>
    </w:p>
    <w:p>
      <w:pPr>
        <w:ind w:left="420"/>
      </w:pPr>
      <w:r>
        <w:t xml:space="preserve">12. Unionszollkodex: die Verordnung (EU) Nr. 952/2013 des Europäischen Parlaments und des Rates vom 9. Oktober 2013 zur Festlegung des Zollkodex der Union (ABl. L 269 vom 10.10.2013, S. 1; L 287 vom 29.10.2013, S. 90; L 267 vom 30.9.2016, S. 2), die zuletzt durch die Verordnung (EU) 2019/632 (ABl. L 111 vom 25.4.2019, S. 54) geändert worden ist, in der am 14. Dezember 2016 geltenden Fassung;</w:t>
      </w:r>
    </w:p>
    <w:p>
      <w:pPr>
        <w:ind w:left="420"/>
      </w:pPr>
      <w:r>
        <w:t xml:space="preserve">13. Personen: natürliche und juristische Personen sowie Personenvereinigungen ohne eigene Rechtspersönlichkeit;</w:t>
      </w:r>
    </w:p>
    <w:p>
      <w:pPr>
        <w:ind w:left="420"/>
      </w:pPr>
      <w:r>
        <w:t xml:space="preserve">14. Verschlussbrennerei: unter amtlicher Mitwirkung verschlusssicher eingerichteter Teil eines Steuerlagers;</w:t>
      </w:r>
    </w:p>
    <w:p>
      <w:pPr>
        <w:ind w:left="420"/>
      </w:pPr>
      <w:r>
        <w:t xml:space="preserve">15. Abfindungsbrenner: Inhaber einer Erlaubnis zum Betrieb einer Abfindungsbrennerei nach § 10 Absatz 1;</w:t>
      </w:r>
    </w:p>
    <w:p>
      <w:pPr>
        <w:ind w:left="420"/>
      </w:pPr>
      <w:r>
        <w:t xml:space="preserve">16. Steuerentlastung: der Erlass, die Erstattung und die Vergütung einer entstandenen Steuer.</w:t>
      </w:r>
    </w:p>
    <w:p>
      <w:r>
        <w:rPr>
          <w:color w:val="555555"/>
          <w:sz w:val="17"/>
        </w:rPr>
        <w:t xml:space="preserve">Zitiervorschlag: § 3 AlkStG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