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AlkStG — Erwerb durch Privatpersonen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Alkoholerzeugnisse, die eine Privatperson für ihren Eigenbedarf in anderen Mitgliedstaaten im steuerrechtlich freien Verkehr erwirbt und selbst in das Steuergebiet befördert (private Zwecke), sind steuerfrei.</w:t>
      </w:r>
    </w:p>
    <w:p>
      <w:r>
        <w:t xml:space="preserve">(2) Bei der Beurteilung, ob Alkoholerzeugnisse nach Absatz 1 für den Eigenbedarf bestimmt sind, sind die nachstehenden Kriterien zu berücksichtigen:</w:t>
      </w:r>
    </w:p>
    <w:p>
      <w:pPr>
        <w:ind w:left="420"/>
      </w:pPr>
      <w:r>
        <w:t xml:space="preserve">1. handelsrechtliche Stellung und Gründe des Besitzers für den Besitz der Alkoholerzeugnisse,</w:t>
      </w:r>
    </w:p>
    <w:p>
      <w:pPr>
        <w:ind w:left="420"/>
      </w:pPr>
      <w:r>
        <w:t xml:space="preserve">2. Ort, an dem sich die Alkoholerzeugnisse befinden, oder die Art der Beförderung,</w:t>
      </w:r>
    </w:p>
    <w:p>
      <w:pPr>
        <w:ind w:left="420"/>
      </w:pPr>
      <w:r>
        <w:t xml:space="preserve">3. Unterlagen über die Alkoholerzeugnisse,</w:t>
      </w:r>
    </w:p>
    <w:p>
      <w:pPr>
        <w:ind w:left="420"/>
      </w:pPr>
      <w:r>
        <w:t xml:space="preserve">4. Beschaffenheit oder Menge der Alkoholerzeugnisse.</w:t>
      </w:r>
    </w:p>
    <w:p>
      <w:r>
        <w:t xml:space="preserve">(3) Das Bundesministerium der Finanzen wird ermächtigt, durch Rechtsverordnung ohne Zustimmung des Bundesrates zur Sicherung des Steueraufkommens vorzuschreiben, bei welcher Menge an Alkoholerzeugnissen nach Absatz 1 widerleglich vermutet wird, dass diese nicht für den Eigenbedarf der Privatperson bestimmt sind.</w:t>
      </w:r>
    </w:p>
    <w:p>
      <w:r>
        <w:rPr>
          <w:color w:val="555555"/>
          <w:sz w:val="17"/>
        </w:rPr>
        <w:t xml:space="preserve">Zitiervorschlag: § 23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