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AlkStG — Steuerentstehung, Steuerschuldner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Die Steuer entsteht vorbehaltlich des Satzes 2 zum Zeitpunkt der Überführung der Alkoholerzeugnisse in den steuerrechtlich freien Verkehr durch die Einfuhr oder durch den unrechtmäßigen Eingang. Die Steuer entsteht nicht, wenn</w:t>
      </w:r>
    </w:p>
    <w:p>
      <w:pPr>
        <w:ind w:left="420"/>
      </w:pPr>
      <w:r>
        <w:t xml:space="preserve">1. die Alkoholerzeugnisse unmittelbar am Ort der Einfuhr in ein Verfahren der Steueraussetzung überführt werden,</w:t>
      </w:r>
    </w:p>
    <w:p>
      <w:pPr>
        <w:ind w:left="420"/>
      </w:pPr>
      <w:r>
        <w:t xml:space="preserve">2. sich eine Steuerbefreiung anschließt oder</w:t>
      </w:r>
    </w:p>
    <w:p>
      <w:pPr>
        <w:ind w:left="420"/>
      </w:pPr>
      <w:r>
        <w:t xml:space="preserve">3. die Einfuhrzollschuld nach Artikel 124 Absatz 1 Buchstabe e, f, g oder Buchstabe k des Unionszollkodex erlischt.</w:t>
      </w:r>
    </w:p>
    <w:p>
      <w:r>
        <w:t xml:space="preserve">(2) Steuerschuldner ist</w:t>
      </w:r>
    </w:p>
    <w:p>
      <w:pPr>
        <w:ind w:left="420"/>
      </w:pPr>
      <w:r>
        <w:t xml:space="preserve">1. jede Person nach Artikel 77 Absatz 3 des Unionszollkodex;</w:t>
      </w:r>
    </w:p>
    <w:p>
      <w:pPr>
        <w:ind w:left="420"/>
      </w:pPr>
      <w:r>
        <w:t xml:space="preserve">2. jede andere Person, die an einem unrechtmäßigen Eingang beteiligt ist.</w:t>
      </w:r>
    </w:p>
    <w:p>
      <w:r>
        <w:t xml:space="preserve">§ 18 Absatz 8 gilt entsprechend.</w:t>
      </w:r>
    </w:p>
    <w:p>
      <w:r>
        <w:t xml:space="preserve">(3) Für die Fälligkeit, den Zahlungsaufschub, das Erlöschen in anderen Fällen als denen des Absatzes 1 Satz 2 Nummer 3 sowie die Nacherhebung, den Erlass und die Erstattung in anderen Fällen als nach den Artikeln 119 und 120 des Unionszollkodex und das Steuerverfahren gelten die Zollvorschriften sinngemäß. Abweichend von Satz 1 bleiben die §§ 163 und 227 der Abgabenordnung unberührt.</w:t>
      </w:r>
    </w:p>
    <w:p>
      <w:r>
        <w:t xml:space="preserve">(4) Abweichend von den Absätzen 1 bis 3 sind für Alkoholerzeugnisse in der Truppenverwendung, die zweckwidrig verwendet werden, die Vorschriften des Truppenzollgesetzes anzuwenden.</w:t>
      </w:r>
    </w:p>
    <w:p>
      <w:r>
        <w:t xml:space="preserve">(5) Für den Eingang von Alkoholerzeugnissen aus einem der in Artikel 4 Absatz 2 der Systemrichtlinie aufgeführten Gebiete in das Steuergebiet sind die in den zollrechtlichen Vorschriften der Union vorgesehenen Formalitäten für den Eingang von Waren in das Zollgebiet der Union entsprechend anzuwenden.</w:t>
      </w:r>
    </w:p>
    <w:p>
      <w:r>
        <w:t xml:space="preserve">(6) Für den unrechtmäßigen Eingang gilt Artikel 87 des Unionszollkodex sinngemäß.</w:t>
      </w:r>
    </w:p>
    <w:p>
      <w:r>
        <w:t xml:space="preserve">(7) Das Bundesministerium der Finanzen wird ermächtigt, durch Rechtsverordnung ohne Zustimmung des Bundesrates Vorschriften zu Absatz 3 zu erlassen und die Besteuerung abweichend von Absatz 3 zu regeln, soweit dies zur Sicherung des Steueraufkommens oder zur Anpassung an die Behandlung von im Steuergebiet hergestellten Alkoholerzeugnissen oder wegen der besonderen Verhältnisse bei der Einfuhr erforderlich ist.</w:t>
      </w:r>
    </w:p>
    <w:p>
      <w:r>
        <w:rPr>
          <w:color w:val="555555"/>
          <w:sz w:val="17"/>
        </w:rPr>
        <w:t xml:space="preserve">Zitiervorschlag: § 22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