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AlkStG — Ausfuhr</w:t>
      </w:r>
    </w:p>
    <w:p>
      <w:r>
        <w:rPr>
          <w:color w:val="555555"/>
          <w:sz w:val="18"/>
        </w:rPr>
        <w:t xml:space="preserve">Alkoholsteuergesetz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Alkoholerzeugnisse dürfen unter Steueraussetzung aus Steuerlagern im Steuergebiet oder von registrierten Versendern vom Ort der Einfuhr im Steuergebiet zu einem Ort befördert werden, an dem die Alkoholerzeugnisse</w:t>
      </w:r>
    </w:p>
    <w:p>
      <w:pPr>
        <w:ind w:left="420"/>
      </w:pPr>
      <w:r>
        <w:t xml:space="preserve">1. das Verbrauchsteuergebiet der Europäischen Union verlassen;</w:t>
      </w:r>
    </w:p>
    <w:p>
      <w:pPr>
        <w:ind w:left="420"/>
      </w:pPr>
      <w:r>
        <w:t xml:space="preserve">2. in das externe Versandverfahren nach Artikel 226 des Unionszollkodex überführt werden, sofern dies vorgesehen ist nach Artikel 189 Absatz 4 der Delegierten Verordnung (EU) 2015/2446 der Kommission vom 28. Juli 2015 zur Ergänzung der Verordnung (EU) Nr. 952/2013 des Europäischen Parlaments und des Rates mit Einzelheiten zur Präzisierung von Bestimmungen des Zollkodex der Union (ABl. L 343 vom 29.12.2015, S. 1; L 264 vom 30.9.2016, S. 44; L 192 vom 30.7.2018, S. 62), die zuletzt durch die Delegierte Verordnung (EU) 2020/877 (ABl. L 203 vom 26.6.2020, S. 1) geändert worden ist, in der jeweils geltenden Fassung.</w:t>
      </w:r>
    </w:p>
    <w:p>
      <w:r>
        <w:t xml:space="preserve">Satz 1 gilt auch, wenn Alkoholerzeugnisse über Drittländer oder Drittgebiete befördert werden.</w:t>
      </w:r>
    </w:p>
    <w:p>
      <w:r>
        <w:t xml:space="preserve">(2) Der Steuerlagerinhaber, der registrierte Versender oder der Empfänger, wenn dieser im Steuergebiet Besitz an den Alkoholerzeugnissen erlangt hat, hat die Alkoholerzeugnisse unverzüglich auszuführen.</w:t>
      </w:r>
    </w:p>
    <w:p>
      <w:r>
        <w:t xml:space="preserve">(3) In den Fällen des Absatzes 1 beginnt die Beförderung unter Steueraussetzung, wenn die Alkoholerzeugnisse das Steuerlager verlassen oder am Ort der Einfuhr in den zollrechtlich freien Verkehr überführt worden sind. Die Beförderung unter Steueraussetzung endet</w:t>
      </w:r>
    </w:p>
    <w:p>
      <w:pPr>
        <w:ind w:left="420"/>
      </w:pPr>
      <w:r>
        <w:t xml:space="preserve">1. in den Fällen des Absatzes 1 Satz 1 Nummer 1, wenn die Alkoholerzeugnisse das Verbrauchsteuergebiet der Europäischen Union verlassen;</w:t>
      </w:r>
    </w:p>
    <w:p>
      <w:pPr>
        <w:ind w:left="420"/>
      </w:pPr>
      <w:r>
        <w:t xml:space="preserve">2. in den Fällen des Absatzes 1 Satz 1 Nummer 2, wenn die Alkoholerzeugnisse in das externe Versandverfahren überführt werden.</w:t>
      </w:r>
    </w:p>
    <w:p>
      <w:r>
        <w:t xml:space="preserve">(4) Für die Verfahrensvorschriften, die Sicherheitsleistung und die Zulassung von Verfahrensvereinfachungen gilt für die unmittelbare Ausfuhr aus dem Steuergebiet § 14 Absatz 2 und 5, für die Ausfuhr über andere Mitgliedstaaten § 15 Absatz 2 und 6 entsprechend.</w:t>
      </w:r>
    </w:p>
    <w:p>
      <w:r>
        <w:t xml:space="preserve">(5) Für den Ausgang von Alkoholerzeugnissen in eines der in Artikel 4 Absatz 2 der Systemrichtlinie aufgeführten Gebiete sind die in den zollrechtlichen Vorschriften der Union vorgesehenen Formalitäten für den Ausgang von Waren aus dem Zollgebiet der Union entsprechend anzuwenden.</w:t>
      </w:r>
    </w:p>
    <w:p>
      <w:r>
        <w:rPr>
          <w:color w:val="555555"/>
          <w:sz w:val="17"/>
        </w:rPr>
        <w:t xml:space="preserve">Zitiervorschlag: § 16 AlkStG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