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AlkStG — Abschnittsbrennen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Innerhalb eines Abschnitts dürfen</w:t>
      </w:r>
    </w:p>
    <w:p>
      <w:pPr>
        <w:ind w:left="420"/>
      </w:pPr>
      <w:r>
        <w:t xml:space="preserve">1. Abfindungsbrennereien insgesamt 9 hl A und</w:t>
      </w:r>
    </w:p>
    <w:p>
      <w:pPr>
        <w:ind w:left="420"/>
      </w:pPr>
      <w:r>
        <w:t xml:space="preserve">2. Stoffbesitzer insgesamt 1,5 hl A</w:t>
      </w:r>
    </w:p>
    <w:p>
      <w:r>
        <w:t xml:space="preserve">gewinnen und reinigen. Dieser Alkohol gilt abweichend von § 9 Absatz 1 Satz 2 und § 11 Absatz 1 Satz 2 als innerhalb der jeweils zulässigen Jahreserzeugung gewonnen.</w:t>
      </w:r>
    </w:p>
    <w:p>
      <w:r>
        <w:t xml:space="preserve">(2) Ein Abschnitt umfasst drei Jahre. Der erste Abschnitt beginnt am 1. Januar 2018 und endet am 31. Dezember 2020. Die weiteren Abschnitte schließen sich entsprechend an.</w:t>
      </w:r>
    </w:p>
    <w:p>
      <w:r>
        <w:t xml:space="preserve">(3) Abfindungsbrenner und Stoffbesitzer, die im Abschnitt brennen wollen, haben dies dem Hauptzollamt rechtzeitig vorher anzuzeigen.</w:t>
      </w:r>
    </w:p>
    <w:p>
      <w:r>
        <w:t xml:space="preserve">(4) Das Bundesministerium der Finanzen wird ermächtigt, durch Rechtsverordnung ohne Zustimmung des Bundesrates, zur Sicherung des Steueraufkommens und zur Wahrung der Gleichmäßigkeit der Besteuerung, Vorschriften zu den Absätzen 1 bis 3 zu erlassen und dabei insbesondere das Verfahren zur Anzeige und Überwachung des Abschnittsbrennens zu regeln.</w:t>
      </w:r>
    </w:p>
    <w:p>
      <w:r>
        <w:rPr>
          <w:color w:val="555555"/>
          <w:sz w:val="17"/>
        </w:rPr>
        <w:t xml:space="preserve">Zitiervorschlag: § 12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