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AlgIIV 2008 — Berechnung des Einkommens in sonstigen Fällen</w:t>
      </w:r>
    </w:p>
    <w:p>
      <w:r>
        <w:rPr>
          <w:color w:val="555555"/>
          <w:sz w:val="18"/>
        </w:rPr>
        <w:t xml:space="preserve">Grundsicherungsgeld-Verordnung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die Berechnung des Einkommens aus Einnahmen, die nicht unter die §§ 2 und 3 fallen, ist § 2 entsprechend anzuwenden. Hierzu gehören insbesondere Einnahmen aus</w:t>
      </w:r>
    </w:p>
    <w:p>
      <w:pPr>
        <w:ind w:left="420"/>
      </w:pPr>
      <w:r>
        <w:t xml:space="preserve">1. Sozialleistungen,</w:t>
      </w:r>
    </w:p>
    <w:p>
      <w:pPr>
        <w:ind w:left="420"/>
      </w:pPr>
      <w:r>
        <w:t xml:space="preserve">2. Vermietung und Verpachtung,</w:t>
      </w:r>
    </w:p>
    <w:p>
      <w:pPr>
        <w:ind w:left="420"/>
      </w:pPr>
      <w:r>
        <w:t xml:space="preserve">3. Kapitalvermögen sowie</w:t>
      </w:r>
    </w:p>
    <w:p>
      <w:pPr>
        <w:ind w:left="420"/>
      </w:pPr>
      <w:r>
        <w:t xml:space="preserve">4. Wehr-, Ersatz- und Freiwilligendienstverhältnissen.</w:t>
      </w:r>
    </w:p>
    <w:p>
      <w:r>
        <w:rPr>
          <w:color w:val="555555"/>
          <w:sz w:val="17"/>
        </w:rPr>
        <w:t xml:space="preserve">Zitiervorschlag: § 4 AlgIIV 2008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https://recht.nulegal.eu/gesetze/AlgIIV%202008/4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