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AlgIIV 2008 — Inkrafttreten, Außerkrafttreten</w:t>
      </w:r>
    </w:p>
    <w:p>
      <w:r>
        <w:rPr>
          <w:color w:val="555555"/>
          <w:sz w:val="18"/>
        </w:rPr>
        <w:t xml:space="preserve">Grundsicherungsgeld-Verordnung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2008 in Kraft.</w:t>
      </w:r>
    </w:p>
    <w:p>
      <w:r>
        <w:rPr>
          <w:color w:val="555555"/>
          <w:sz w:val="17"/>
        </w:rPr>
        <w:t xml:space="preserve">Zitiervorschlag: § 10 AlgIIV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https://recht.nulegal.eu/gesetze/AlgIIV%202008/10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