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AlgIIV 2008 — Nicht als Einkommen zu berücksichtigende Einnahmen</w:t>
      </w:r>
    </w:p>
    <w:p>
      <w:r>
        <w:rPr>
          <w:color w:val="555555"/>
          <w:sz w:val="18"/>
        </w:rPr>
        <w:t xml:space="preserve">Grundsicherungsgeld-Verordnung</w:t>
      </w:r>
    </w:p>
    <w:p>
      <w:r>
        <w:rPr>
          <w:color w:val="555555"/>
          <w:sz w:val="18"/>
        </w:rPr>
        <w:t xml:space="preserve">Stand: 01.07.2026 (konsolidierte Textfassung, kein amtliches Inkrafttretensdatum)</w:t>
      </w:r>
    </w:p>
    <w:p>
      <w:r>
        <w:t xml:space="preserve">(1) Außer den in § 11a des Zweiten Buches Sozialgesetzbuch genannten Einnahmen sind nicht als Einkommen zu berücksichtigen:</w:t>
      </w:r>
    </w:p>
    <w:p>
      <w:pPr>
        <w:ind w:left="420"/>
      </w:pPr>
      <w:r>
        <w:t xml:space="preserve">1. Einnahmen, wenn sie innerhalb eines Kalendermonats 10 Euro nicht übersteigen,</w:t>
      </w:r>
    </w:p>
    <w:p>
      <w:pPr>
        <w:ind w:left="420"/>
      </w:pPr>
      <w:r>
        <w:t xml:space="preserve">2. (weggefallen)</w:t>
      </w:r>
    </w:p>
    <w:p>
      <w:pPr>
        <w:ind w:left="420"/>
      </w:pPr>
      <w:r>
        <w:t xml:space="preserve">3. Einnahmen aus Kapitalvermögen, soweit sie 100 Euro kalenderjährlich nicht übersteigen,</w:t>
      </w:r>
    </w:p>
    <w:p>
      <w:pPr>
        <w:ind w:left="420"/>
      </w:pPr>
      <w:r>
        <w:t xml:space="preserve">4. nicht steuerpflichtige Einnahmen einer Pflegeperson für Leistungen der Grundpflege und der hauswirtschaftlichen Versorgung,</w:t>
      </w:r>
    </w:p>
    <w:p>
      <w:pPr>
        <w:ind w:left="420"/>
      </w:pPr>
      <w:r>
        <w:t xml:space="preserve">5. bei Soldaten der Auslandsverwendungszuschlag,</w:t>
      </w:r>
    </w:p>
    <w:p>
      <w:pPr>
        <w:ind w:left="420"/>
      </w:pPr>
      <w:r>
        <w:t xml:space="preserve">6. die aus Mitteln des Bundes gezahlte Überbrückungsbeihilfe nach Artikel IX Abs. 4 des Abkommens zwischen den Parteien des Nordatlantikvertrages über die Rechtsstellung ihrer Truppen (NATO-Truppenstatut) vom 19. Juni 1951 (BGBl. 1961 II S. 1190) an ehemalige Arbeitnehmer bei den Stationierungsstreitkräften und nach Artikel 5 des Gesetzes zu den Notenwechseln vom 25. September 1990 und 23. September 1991 über die Rechtsstellung der in Deutschland stationierten verbündeten Streitkräfte und zu den Übereinkommen vom 25. September 1990 zur Regelung bestimmter Fragen in Bezug auf Berlin vom 3. Januar 1994 (BGBl. 1994 II S. 26) an ehemalige Arbeitnehmer bei den alliierten Streitkräften in Berlin,</w:t>
      </w:r>
    </w:p>
    <w:p>
      <w:pPr>
        <w:ind w:left="420"/>
      </w:pPr>
      <w:r>
        <w:t xml:space="preserve">7. nach § 3 Nummer 11c des Einkommensteuergesetzes steuerfrei gewährte Leistungen zur Abmilderung der gestiegenen Verbrauchspreise,</w:t>
      </w:r>
    </w:p>
    <w:p>
      <w:pPr>
        <w:ind w:left="420"/>
      </w:pPr>
      <w:r>
        <w:t xml:space="preserve">8. Kindergeld für Kinder des Hilfebedürftigen, soweit es nachweislich an das nicht im Haushalt des Hilfebedürftigen lebende Kind weitergeleitet wird,</w:t>
      </w:r>
    </w:p>
    <w:p>
      <w:pPr>
        <w:ind w:left="420"/>
      </w:pPr>
      <w:r>
        <w:t xml:space="preserve">9. bei Beziehenden von Grundsicherungsgeld nach § 19 Absatz 1 Satz 2 des Zweiten Buches Sozialgesetzbuch, die das 15. Lebensjahr noch nicht vollendet haben, Einnahmen aus Erwerbstätigkeit, soweit sie einen Betrag von 100 Euro monatlich nicht übersteigen,</w:t>
      </w:r>
    </w:p>
    <w:p>
      <w:pPr>
        <w:ind w:left="420"/>
      </w:pPr>
      <w:r>
        <w:t xml:space="preserve">10. eine Witwen- oder Witwerrente nach § 67 Nummer 5 und 6 des Sechsten Buches Sozialgesetzbuch, soweit diese Rente bis zum Ende des dritten Kalendermonats nach Ablauf des Monats, in dem der Ehegatte verstorben ist, die anschließende Witwen- oder Witwerrente überschreitet,</w:t>
      </w:r>
    </w:p>
    <w:p>
      <w:pPr>
        <w:ind w:left="420"/>
      </w:pPr>
      <w:r>
        <w:t xml:space="preserve">11. Verpflegung, die außerhalb der in den §§ 2, 3 und 4 Nummer 4 genannten Einkommensarten bereitgestellt wird,</w:t>
      </w:r>
    </w:p>
    <w:p>
      <w:pPr>
        <w:ind w:left="420"/>
      </w:pPr>
      <w:r>
        <w:t xml:space="preserve">12. Geldgeschenke an Minderjährige anlässlich der Firmung, Kommunion, Konfirmation oder vergleichbarer religiöser Feste sowie anlässlich der Jugendweihe, soweit sie den Betrag von 3 100 Euro nicht überschreiten,</w:t>
      </w:r>
    </w:p>
    <w:p>
      <w:pPr>
        <w:ind w:left="420"/>
      </w:pPr>
      <w:r>
        <w:t xml:space="preserve">13. Hilfen zur Beschaffung von Hygiene- oder Gesundheitsartikeln, die auf Grund einer epidemischen Lage von nationaler Tragweite, die vom Deutschen Bundestag gemäß § 5 Absatz 1 Satz 1 des Infektionsschutzgesetzes festgestellt worden ist, aus Mitteln des Bundes oder der Länder gezahlt werden.</w:t>
      </w:r>
    </w:p>
    <w:p>
      <w:r>
        <w:t xml:space="preserve">(2) Bei der § 9 Abs. 5 des Zweiten Buches Sozialgesetzbuch zugrunde liegenden Vermutung, dass Verwandte und Verschwägerte an mit ihnen in Haushaltsgemeinschaft lebende Hilfebedürftige Leistungen erbringen, sind die um die Absetzbeträge nach § 11b des Zweiten Buches Sozialgesetzbuch bereinigten Einnahmen in der Regel nicht als Einkommen zu berücksichtigen, soweit sie einen Freibetrag in Höhe des doppelten Betrags des nach § 20 Absatz 2 Satz 1 maßgebenden Regelbedarfs zuzüglich der anteiligen Aufwendungen für Unterkunft und Heizung sowie darüber hinausgehend 50 Prozent der diesen Freibetrag übersteigenden bereinigten Einnahmen nicht überschreiten. § 11a des Zweiten Buches Sozialgesetzbuch gilt entsprechend.</w:t>
      </w:r>
    </w:p>
    <w:p>
      <w:r>
        <w:t xml:space="preserve">(3) Die Verletztenrente nach dem Siebten Buch Sozialgesetzbuch ist teilweise nicht als Einkommen zu berücksichtigen, wenn sie auf Grund eines in Ausübung der Wehrpflicht bei der Nationalen Volksarmee der ehemaligen Deutschen Demokratischen Republik erlittenen Gesundheitsschadens erbracht wird. Dabei bestimmt sich die Höhe des nicht zu berücksichtigenden Betrages nach der Höhe der vergleichbaren monatlichen Entschädigungszahlung nach § 83 Absatz 1 des Vierzehnten Buches Sozialgesetzbuch, die für den Grad der Schädigungsfolgen zu zahlen ist, der der jeweiligen Minderung der Erwerbsfähigkeit entspricht. Bei einer Minderung der Erwerbsfähigkeit um 20 Prozent beträgt der nicht zu berücksichtigende Betrag zwei Drittel, bei einer Minderung der Erwerbsfähigkeit um 10 Prozent ein Drittel der Mindestgrundrente nach dem Vierzehnten Buch Sozialgesetzbuch.</w:t>
      </w:r>
    </w:p>
    <w:p>
      <w:r>
        <w:rPr>
          <w:color w:val="555555"/>
          <w:sz w:val="17"/>
        </w:rPr>
        <w:t xml:space="preserve">Zitiervorschlag: § 1 AlgIIV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https://recht.nulegal.eu/gesetze/AlgIIV%202008/1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