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AktuarV 2016</w:t>
      </w:r>
    </w:p>
    <w:p>
      <w:r>
        <w:rPr>
          <w:color w:val="555555"/>
          <w:sz w:val="18"/>
        </w:rPr>
        <w:t xml:space="preserve">Aktuarverordnung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145 Absatz 4 in Verbindung mit Absatz 5 Satz 2, auch in Verbindung mit § 161 Absatz 1, § 162, § 212 Absatz 1, § 219 Absatz 1 und § 234 Absatz 1 des Versicherungsaufsichtsgesetzes vom 1. April 2015 (BGBl. I S. 434), von denen § 161 Absatz 1 durch Artikel 14 Nummer 2 des Gesetzes vom 2. November 2015 (BGBl. I S. 1864)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AktuarV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https://recht.nulegal.eu/gesetze/AktuarV%202016/eingangsformel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