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AktGEG — Mitteilungspflicht von Beteiligungen</w:t>
      </w:r>
    </w:p>
    <w:p>
      <w:r>
        <w:rPr>
          <w:color w:val="555555"/>
          <w:sz w:val="18"/>
        </w:rPr>
        <w:t xml:space="preserve">Einführungsgesetz zum 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Mitteilungspflichten nach §§ 20, 21 und 328 Abs. 3 des Aktiengesetzes gelten auch für Beteiligungen, die beim Inkrafttreten des Aktiengesetzes bestehen. Die Beteiligungen sind binnen eines Monats nach dem Inkrafttreten des Aktiengesetzes mitzuteilen.</w:t>
      </w:r>
    </w:p>
    <w:p>
      <w:r>
        <w:rPr>
          <w:color w:val="555555"/>
          <w:sz w:val="17"/>
        </w:rPr>
        <w:t xml:space="preserve">Zitiervorschlag: § 7 AktGEG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https://recht.nulegal.eu/gesetze/AktGEG/7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