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AktGEG — Wechselseitig beteiligte Unternehmen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eine Aktiengesellschaft und ein anderes Unternehmen bereits beim Inkrafttreten des Aktiengesetzes wechselseitig beteiligte Unternehmen, ohne daß die Voraussetzungen des § 19 Abs. 2 oder 3 des Aktiengesetzes vorliegen, und haben beide Unternehmen fristgemäß (§ 7) die Mitteilung nach § 20 Abs. 3 oder § 21 Abs. 1 des Aktiengesetzes gemacht, so gilt § 328 Abs. 1 und 2 des Aktiengesetzes für sie nicht.</w:t>
      </w:r>
    </w:p>
    <w:p>
      <w:r>
        <w:t xml:space="preserve">(2) Solange die Unternehmen wechselseitig beteiligt sind und nicht die Voraussetzungen des § 19 Abs. 2 oder 3 des Aktiengesetzes vorliegen, gilt für die Ausübung der Rechte aus den Anteilen an dem anderen Unternehmen statt dessen folgendes:</w:t>
      </w:r>
    </w:p>
    <w:p>
      <w:pPr>
        <w:ind w:left="420"/>
      </w:pPr>
      <w:r>
        <w:t xml:space="preserve">1. Aus den Anteilen, die den Unternehmen beim Inkrafttreten des Aktiengesetzes gehört haben oder die auf diese Anteile bei einer Kapitalerhöhung aus Gesellschaftsmitteln entfallen, können alle Rechte ausgeübt werden.</w:t>
      </w:r>
    </w:p>
    <w:p>
      <w:pPr>
        <w:ind w:left="420"/>
      </w:pPr>
      <w:r>
        <w:t xml:space="preserve">2. Aus Anteilen, die bei einer Kapitalerhöhung gegen Einlagen auf Grund eines nach Nummer 1 bestehenden Bezugsrechts übernommen werden, können alle Rechte mit Ausnahme des Stimmrechts ausgeübt werden; das gleiche gilt für Anteile, die auf diese Anteile bei einer Kapitalerhöhung aus Gesellschaftsmitteln entfallen.</w:t>
      </w:r>
    </w:p>
    <w:p>
      <w:pPr>
        <w:ind w:left="420"/>
      </w:pPr>
      <w:r>
        <w:t xml:space="preserve">3. Aus anderen Anteilen können mit Ausnahme des Rechts auf neue Aktien bei einer Kapitalerhöhung aus Gesellschaftsmitteln keine Rechte ausgeübt werden.</w:t>
      </w:r>
    </w:p>
    <w:p>
      <w:r>
        <w:t xml:space="preserve">(3) Hat nur eines der wechselseitig beteiligten Unternehmen fristgemäß (§ 7) die Mitteilung nach § 20 Abs. 3 oder § 21 Abs. 1 des Aktiengesetzes gemacht, so gilt § 328 Abs. 1 und 2 nicht für dieses Unternehmen.</w:t>
      </w:r>
    </w:p>
    <w:p>
      <w:r>
        <w:rPr>
          <w:color w:val="555555"/>
          <w:sz w:val="17"/>
        </w:rPr>
        <w:t xml:space="preserve">Zitiervorschlag: § 6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