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AktGEG — Mehrstimmrechte. Höchststimmrechte</w:t>
      </w:r>
    </w:p>
    <w:p>
      <w:r>
        <w:rPr>
          <w:color w:val="555555"/>
          <w:sz w:val="18"/>
        </w:rPr>
        <w:t xml:space="preserve">Einführungsgesetz zum Aktiengesetz</w:t>
      </w:r>
    </w:p>
    <w:p>
      <w:r>
        <w:rPr>
          <w:color w:val="555555"/>
          <w:sz w:val="18"/>
        </w:rPr>
        <w:t xml:space="preserve">Stand: 15.12.2023 (konsolidierte Textfassung, kein amtliches Inkrafttretensdatum)</w:t>
      </w:r>
    </w:p>
    <w:p>
      <w:r>
        <w:t xml:space="preserve">(1) Sind Mehrstimmrechte nach § 5 Absatz 1 in der bis einschließlich 14. Dezember 2023 geltenden Fassung erloschen oder nach § 5 Absatz 2 in der bis einschließlich 14. Dezember 2023 geltenden Fassung beseitigt worden, so gilt § 5 Absatz 3 bis 6 in der bis einschließlich 14. Dezember 2023 geltenden Fassung.</w:t>
      </w:r>
    </w:p>
    <w:p>
      <w:r>
        <w:t xml:space="preserve">(2) Für Mehrstimmrechtsaktien, deren Fortgeltung nach § 5 Absatz 1 Satz 1 in der bis einschließlich 14. Dezember 2023 geltenden Fassung beschlossen wurde, gelten die Regelungen des § 135a Absatz 1 Satz 2 und Absatz 2 des Aktiengesetzes erst ab dem Zeitpunkt, in dem nach dem 15. Dezember 2023 die Gesellschaft börsennotiert im Sinne des § 3 Absatz 2 des Aktiengesetzes wird oder die Aktien der Gesellschaft in den Handel im Freiverkehr nach § 48 des Börsengesetzes einbezogen werden; die in § 135a Absatz 1 Satz 1 des Aktiengesetzes vorgesehene Beschränkung auf Namensaktien gilt nicht.</w:t>
      </w:r>
    </w:p>
    <w:p>
      <w:r>
        <w:t xml:space="preserve">(3) Für Höchststimmrechte bei börsennotierten Gesellschaften, die vor dem 1. Mai 1998 von der Satzung bestimmt sind, gelten die Sätze 2 bis 5 des § 134 Abs. 1 des Aktiengesetzes in der vor dem 1. Mai 1998 geltenden Fassung bis zum 1. Juni 2000 fort.</w:t>
      </w:r>
    </w:p>
    <w:p>
      <w:r>
        <w:rPr>
          <w:color w:val="555555"/>
          <w:sz w:val="17"/>
        </w:rPr>
        <w:t xml:space="preserve">Zitiervorschlag: § 5 AktGEG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https://recht.nulegal.eu/gesetze/AktGEG/5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