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AktGEG — Gesetz über die Kapitalerhöhung aus Gesellschaftsmitteln und über die Gewinn- und Verlustrechnung</w:t>
      </w:r>
    </w:p>
    <w:p>
      <w:r>
        <w:rPr>
          <w:color w:val="555555"/>
          <w:sz w:val="18"/>
        </w:rPr>
        <w:t xml:space="preserve">Einführungsgesetz zum Aktiengesetz</w:t>
      </w:r>
    </w:p>
    <w:p>
      <w:r>
        <w:rPr>
          <w:color w:val="555555"/>
          <w:sz w:val="18"/>
        </w:rPr>
        <w:t xml:space="preserve">Stand: 10.06.2019 (konsolidierte Textfassung, kein amtliches Inkrafttretensdatum)</w:t>
      </w:r>
    </w:p>
    <w:p>
      <w:r>
        <w:t xml:space="preserve">(1) (gegenstandslos)</w:t>
      </w:r>
    </w:p>
    <w:p>
      <w:r>
        <w:t xml:space="preserve">(2) Haben Kreditinstitute auf Grund einer Aufforderung nach § 11 Abs. 1 des Gesetzes über die Kapitalerhöhung aus Gesellschaftsmitteln und die Gewinn- und Verlustrechnung auf in ihre Sammelverwahrung genommene alte Aktien neue Aktien abgeholt und entfallen neue Aktien noch nach Ablauf eines Jahres seit der Bekanntmachung der Aufforderung zur Abholung oder, wenn diese Frist vor dem Inkrafttreten des Aktiengesetzes abgelaufen ist, noch beim Inkrafttreten des Aktiengesetzes auf Teilrechte, die nicht in einer Hand vereinigt sind und deren Berechtigte sich auch nicht zur Ausübung der Rechte zusammengeschlossen haben, so gelten diese neuen Aktien als nicht abgeholt. Sie sind der Gesellschaft nach Ablauf dieser Frist und, wenn die Frist beim Inkrafttreten des Aktiengesetzes bereits abgelaufen ist, unverzüglich zurückzugeben. Hat die Gesellschaft den Verkauf der nicht abgeholten Aktien noch nicht angedroht, so hat sie ihn unverzüglich nach der Rückgabe der Aktien anzudrohen. Für die Androhung gilt § 214 Abs. 2 Satz 2 und 3 des Aktiengesetzes. § 214 Abs. 3 des Aktiengesetzes gilt sinngemäß; ist die Frist von einem Jahr seit der letzten Bekanntmachung der Androhung beim Inkrafttreten des Aktiengesetzes bereits abgelaufen, so tritt an ihre Stelle eine Frist von drei Monaten seit dem Inkrafttreten des Aktiengesetzes.</w:t>
      </w:r>
    </w:p>
    <w:p>
      <w:r>
        <w:t xml:space="preserve">(3) (Änderungsvorschrift)</w:t>
      </w:r>
    </w:p>
    <w:p>
      <w:r>
        <w:t xml:space="preserve">(4) Sind Aktien einer Gesellschaft an einer deutschen Börse zum amtlichen Handel zugelassen, so gilt die Zulassung auch für die neuen Aktien, die bei einer Kapitalerhöhung aus Gesellschaftsmitteln auf sie entfallen.</w:t>
      </w:r>
    </w:p>
    <w:p>
      <w:r>
        <w:rPr>
          <w:color w:val="555555"/>
          <w:sz w:val="17"/>
        </w:rPr>
        <w:t xml:space="preserve">Zitiervorschlag: § 33 AktGEG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https://recht.nulegal.eu/gesetze/AktGEG/33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