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26q AktGEG — Übergangsvorschrift zum Vierten Bürokratieentlastungsgesetz</w:t>
      </w:r>
    </w:p>
    <w:p>
      <w:r>
        <w:rPr>
          <w:color w:val="555555"/>
          <w:sz w:val="18"/>
        </w:rPr>
        <w:t xml:space="preserve">Einführungsgesetz zum Aktiengesetz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§ 124 Absatz 2 und § 124a Satz 1 des Aktiengesetzes in der Fassung des Vierten Bürokratieentlastungsgesetzes vom 23. Oktober 2024 (BGBl. 2024 I Nr. 323) sind erstmals auf Hauptversammlungen anzuwenden, die ab dem 1. Februar 2025 einberufen werden.</w:t>
      </w:r>
    </w:p>
    <w:p>
      <w:r>
        <w:rPr>
          <w:color w:val="555555"/>
          <w:sz w:val="17"/>
        </w:rPr>
        <w:t xml:space="preserve">Zitiervorschlag: § 26q AktGEG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https://recht.nulegal.eu/gesetze/AktGEG/26q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