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26n AktGEG — Übergangsvorschrift zum Gesetz zur Einführung virtueller Hauptversammlungen von Aktiengesellschaften und Änderung genossenschafts- sowie insolvenz- und restrukturierungsrechtlicher Vorschriften</w:t>
      </w:r>
    </w:p>
    <w:p>
      <w:r>
        <w:rPr>
          <w:color w:val="555555"/>
          <w:sz w:val="18"/>
        </w:rPr>
        <w:t xml:space="preserve">Einführungsgesetz zum Aktiengesetz</w:t>
      </w:r>
    </w:p>
    <w:p>
      <w:r>
        <w:rPr>
          <w:color w:val="555555"/>
          <w:sz w:val="18"/>
        </w:rPr>
        <w:t xml:space="preserve">Stand: 28.07.2022 (konsolidierte Textfassung, kein amtliches Inkrafttretensdatum)</w:t>
      </w:r>
    </w:p>
    <w:p>
      <w:r>
        <w:t xml:space="preserve">(1) Für Hauptversammlungen, die bis einschließlich 31. August 2023 einberufen werden, kann der Vorstand mit Zustimmung des Aufsichtsrats entscheiden, dass die Versammlung als virtuelle Hauptversammlung nach § 118a des Aktiengesetzes abgehalten wird.</w:t>
      </w:r>
    </w:p>
    <w:p>
      <w:r>
        <w:t xml:space="preserve">(2) § 241 Nummer 2, § 242 Absatz 1 und § 243 Absatz 3 Satz 1 Nummer 4 des Aktiengesetzes in der ab dem 27. Juli 2022 geltenden Fassung sind erstmals auf Hauptversammlungen anzuwenden, die ab dem 27. Juli 2022 einberufen werden.</w:t>
      </w:r>
    </w:p>
    <w:p>
      <w:r>
        <w:rPr>
          <w:color w:val="555555"/>
          <w:sz w:val="17"/>
        </w:rPr>
        <w:t xml:space="preserve">Zitiervorschlag: § 26n AktGEG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https://recht.nulegal.eu/gesetze/AktGEG/26n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26n AktGEG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