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26e AktGEG — Übergangsregelung zum Gesetz zur Anpassung von Verjährungsvorschriften an das Gesetz zur Modernisierung des Schuldrechts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327 Abs. 4 des Aktiengesetzes in der ab dem 15. Dezember 2004 geltenden Fassung ist auf vor diesem Datum entstandene Verbindlichkeiten anzuwenden, wenn</w:t>
      </w:r>
    </w:p>
    <w:p>
      <w:pPr>
        <w:ind w:left="420"/>
      </w:pPr>
      <w:r>
        <w:t xml:space="preserve">1. die Eintragung des Endes der Eingliederung in das Handelsregister nach § 10 des Handelsgesetzbuchs nach diesem Datum bekannt gemacht worden ist und</w:t>
      </w:r>
    </w:p>
    <w:p>
      <w:pPr>
        <w:ind w:left="420"/>
      </w:pPr>
      <w:r>
        <w:t xml:space="preserve">2. die Verbindlichkeiten nicht später als vier Jahre nach dem Tag, an dem die Eintragung des Endes der Eingliederung in das Handelsregister nach § 10 des Handelsgesetzbuchs bekannt gemacht worden ist, fällig werden.</w:t>
      </w:r>
    </w:p>
    <w:p>
      <w:r>
        <w:t xml:space="preserve">Auf später fällig werdende Verbindlichkeiten im Sinne des Satzes 1 ist das bisher geltende Recht mit der Maßgabe anwendbar, dass die Verjährungsfrist ein Jahr beträgt.</w:t>
      </w:r>
    </w:p>
    <w:p>
      <w:r>
        <w:rPr>
          <w:color w:val="555555"/>
          <w:sz w:val="17"/>
        </w:rPr>
        <w:t xml:space="preserve">Zitiervorschlag: § 26e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https://recht.nulegal.eu/gesetze/AktGEG/26e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