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26c AktGEG — Übergangsfristen</w:t>
      </w:r>
    </w:p>
    <w:p>
      <w:r>
        <w:rPr>
          <w:color w:val="555555"/>
          <w:sz w:val="18"/>
        </w:rPr>
        <w:t xml:space="preserve">Einführungsgesetz zum Aktiengesetz</w:t>
      </w:r>
    </w:p>
    <w:p>
      <w:r>
        <w:rPr>
          <w:color w:val="555555"/>
          <w:sz w:val="18"/>
        </w:rPr>
        <w:t xml:space="preserve">Stand: 10.06.2019 (konsolidierte Textfassung, kein amtliches Inkrafttretensdatum)</w:t>
      </w:r>
    </w:p>
    <w:p>
      <w:r>
        <w:t xml:space="preserve">Die Vorschriften des Aktiengesetzes über Sacheinlagen und Sachübernahmen sowie über deren Prüfung in der vom 1. Juli 1979 an geltenden Fassung gelten nur für Gründungen und Kapitalerhöhungen, die nach dem 16. Juni 1980 zur Eintragung in das Handelsregister angemeldet werden. Die Fristen, die in § 71 Abs. 3 Satz 2 und § 71c des Aktiengesetzes in der vom 1. Juli 1979 an geltenden Fassung vorgesehen sind, beginnen nicht vor dem 16. Juni 1980. Die nach § 150a des Aktiengesetzes vorgeschriebene Rücklage für eigene Aktien braucht nicht vor dem 16. Juni 1980 gebildet zu werden.</w:t>
      </w:r>
    </w:p>
    <w:p>
      <w:r>
        <w:rPr>
          <w:color w:val="555555"/>
          <w:sz w:val="17"/>
        </w:rPr>
        <w:t xml:space="preserve">Zitiervorschlag: § 26c AktGEG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https://recht.nulegal.eu/gesetze/AktGEG/26c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