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AktGEG — Übergangsvorschrift zu dem Gesetz für die gleichberechtigte Teilhabe von Frauen und Männern an Führungspositionen in der Privatwirtschaft und im öffentlichen Dienst</w:t>
      </w:r>
    </w:p>
    <w:p>
      <w:r>
        <w:rPr>
          <w:color w:val="555555"/>
          <w:sz w:val="18"/>
        </w:rPr>
        <w:t xml:space="preserve">Einführungsgesetz zum Aktiengesetz</w:t>
      </w:r>
    </w:p>
    <w:p>
      <w:r>
        <w:rPr>
          <w:color w:val="555555"/>
          <w:sz w:val="18"/>
        </w:rPr>
        <w:t xml:space="preserve">Stand: 23.09.2021 (konsolidierte Textfassung, kein amtliches Inkrafttretensdatum)</w:t>
      </w:r>
    </w:p>
    <w:p>
      <w:r>
        <w:t xml:space="preserve">(1) Die Festlegungen nach § 76 Absatz 4 Satz 1 und 3 sowie nach § 111 Absatz 5 Satz 1 und 3 des Aktiengesetzes in der am 1. Mai 2015 geltenden Fassung haben erstmals bis spätestens 30. September 2015 zu erfolgen. Die nach § 76 Absatz 4 Satz 3 und die nach § 111 Absatz 5 Satz 3 des Aktiengesetzes in der am 1. Mai 2015 geltenden Fassung erstmals festzulegende Frist darf nicht länger als bis zum 30. Juni 2017 dauern.</w:t>
      </w:r>
    </w:p>
    <w:p>
      <w:r>
        <w:t xml:space="preserve">(2) Der Mindestanteil von jeweils 30 Prozent an Frauen und Männern im Aufsichtsrat nach § 96 Absatz 2 des Aktiengesetzes ist bei erforderlich werdenden Neuwahlen und Entsendungen ab dem 1. Januar 2016 zur Besetzung einzelner oder mehrerer Aufsichtsratssitze zu beachten. Reicht die Anzahl der neu zu besetzenden Aufsichtsratssitze nicht aus, um den Mindestanteil zu erreichen, sind die Sitze mit Personen des unterrepräsentierten Geschlechts zu besetzen, um dessen Anteil sukzessive zu steigern. Bestehende Mandate können bis zu ihrem regulären Ende wahrgenommen werden.</w:t>
      </w:r>
    </w:p>
    <w:p>
      <w:r>
        <w:t xml:space="preserve">(3) Für die Fälle des § 96 Absatz 3 des Aktiengesetzes gilt Absatz 2 entsprechend.</w:t>
      </w:r>
    </w:p>
    <w:p>
      <w:r>
        <w:rPr>
          <w:color w:val="555555"/>
          <w:sz w:val="17"/>
        </w:rPr>
        <w:t xml:space="preserve">Zitiervorschlag: § 25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