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AktGEG — Unternehmensverträge</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(1) Für Unternehmensverträge (§§ 291, 292 des Aktiengesetzes), die vor dem Inkrafttreten des Aktiengesetzes geschlossen worden sind, gelten §§ 295 bis 303, 307 bis 310, 316 des Aktiengesetzes mit Wirkung vom Inkrafttreten des Aktiengesetzes. Die in § 300 Nr. 1 des Aktiengesetzes bestimmte Frist für die Auffüllung der gesetzlichen Rücklage läuft vom Beginn des nach dem 31. Dezember 1965 beginnenden Geschäftsjahrs an. § 300 Nr. 1 und 3 des Aktiengesetzes gilt jedoch nicht, wenn der andere Vertragsteil beim Inkrafttreten des Aktiengesetzes auf Grund der Satzung oder von Verträgen verpflichtet ist, seine Erträge für öffentliche Zwecke zu verwenden. In die gesetzliche Rücklage ist im Falle des Satzes 3 spätestens bei Beendigung des Unternehmensvertrags oder der Verpflichtung nach Satz 3 der Betrag einzustellen, der nach § 300 des Aktiengesetzes in Verbindung mit Satz 2 in die gesetzliche Rücklage einzustellen gewesen wäre, wenn diese Vorschriften für die Gesellschaft gegolten hätten. Reichen die während der Dauer des Vertrags in freie Rücklagen eingestellten Beträge hierzu nicht aus, hat der andere Vertragsteil den Fehlbetrag auszugleichen.</w:t>
      </w:r>
    </w:p>
    <w:p>
      <w:r>
        <w:t xml:space="preserve">(2) Der Vorstand der Gesellschaft hat das Bestehen und die Art des Unternehmensvertrags sowie den Namen des anderen Vertragsteils unverzüglich nach dem Inkrafttreten des Aktiengesetzes zur Eintragung in das Handelsregister anzumelden. Bei der Anmeldung ist das Datum des Beschlusses anzugeben, durch den die Hauptversammlung dem Vertrag zugestimmt hat. Bei Teilgewinnabführungsverträgen ist außerdem die Vereinbarung über die Höhe des abzuführenden Gewinns anzumelden.</w:t>
      </w:r>
    </w:p>
    <w:p>
      <w:r>
        <w:rPr>
          <w:color w:val="555555"/>
          <w:sz w:val="17"/>
        </w:rPr>
        <w:t xml:space="preserve">Zitiervorschlag: § 22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