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AktGEG — Grundkapital</w:t>
      </w:r>
    </w:p>
    <w:p>
      <w:r>
        <w:rPr>
          <w:color w:val="555555"/>
          <w:sz w:val="18"/>
        </w:rPr>
        <w:t xml:space="preserve">Einführungsgesetz zum Aktiengesetz</w:t>
      </w:r>
    </w:p>
    <w:p>
      <w:r>
        <w:rPr>
          <w:color w:val="555555"/>
          <w:sz w:val="18"/>
        </w:rPr>
        <w:t xml:space="preserve">Stand: 25.12.2019 (konsolidierte Textfassung, kein amtliches Inkrafttretensdatum)</w:t>
      </w:r>
    </w:p>
    <w:p>
      <w:r>
        <w:t xml:space="preserve">(1) § 6 des Aktiengesetzes gilt nicht für Aktiengesellschaften, deren Grundkapital und Aktien beim Inkrafttreten des Aktiengesetzes nicht auf einen Nennbetrag in Deutscher Mark lauten, sowie für Aktiengesellschaften, die nach dem Inkrafttreten des Aktiengesetzes nach Maßgabe des § 2 des D-Markbilanzergänzungsgesetzes vom 28. Dezember 1950 (Bundesgesetzbl. S. 811) ihren Sitz in den Geltungsbereich des Aktiengesetzes verlegen. Die Währung, auf die ihr Grundkapital und ihre Aktien lauten müssen, bestimmt sich nach den für sie geltenden besonderen Vorschriften.</w:t>
      </w:r>
    </w:p>
    <w:p>
      <w:r>
        <w:t xml:space="preserve">(2) Aktiengesellschaften, die vor dem 1. Januar 1999 in das Handelsregister eingetragen worden sind, dürfen die Nennbeträge ihres Grundkapitals und ihrer Aktien weiter in Deutscher Mark bezeichnen. Bis zum 31. Dezember 2001 dürfen Aktiengesellschaften neu eingetragen werden, deren Grundkapital und Aktien auf Deutsche Mark lauten. Danach dürfen Aktiengesellschaften nur eingetragen werden, wenn die Nennbeträge von Grundkapital und Aktien in Euro bezeichnet sind; das gleiche gilt für Beschlüsse über die Änderung des Grundkapitals.</w:t>
      </w:r>
    </w:p>
    <w:p>
      <w:r>
        <w:rPr>
          <w:color w:val="555555"/>
          <w:sz w:val="17"/>
        </w:rPr>
        <w:t xml:space="preserve">Zitiervorschlag: § 1 AktGEG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https://recht.nulegal.eu/gesetze/AktGEG/1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