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AktG — Organisation. Buchführung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Vorstand hat dafür zu sorgen, daß die erforderlichen Handelsbücher geführt werden.</w:t>
      </w:r>
    </w:p>
    <w:p>
      <w:r>
        <w:t xml:space="preserve">(2) Der Vorstand hat geeignete Maßnahmen zu treffen, insbesondere ein Überwachungssystem einzurichten, damit den Fortbestand der Gesellschaft gefährdende Entwicklungen früh erkannt werden.</w:t>
      </w:r>
    </w:p>
    <w:p>
      <w:r>
        <w:t xml:space="preserve">(3) Der Vorstand einer börsennotierten Gesellschaft hat darüber hinaus ein im Hinblick auf den Umfang der Geschäftstätigkeit und die Risikolage des Unternehmens angemessenes und wirksames internes Kontrollsystem und Risikomanagementsystem einzurichten.</w:t>
      </w:r>
    </w:p>
    <w:p>
      <w:r>
        <w:rPr>
          <w:color w:val="555555"/>
          <w:sz w:val="17"/>
        </w:rPr>
        <w:t xml:space="preserve">Zitiervorschlag: § 91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