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AktG — Ausgabebetrag der Aktien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einen geringeren Betrag als den Nennbetrag oder den auf die einzelne Stückaktie entfallenden anteiligen Betrag des Grundkapitals dürfen Aktien nicht ausgegeben werden (geringster Ausgabebetrag).</w:t>
      </w:r>
    </w:p>
    <w:p>
      <w:r>
        <w:t xml:space="preserve">(2) Für einen höheren Betrag ist die Ausgabe zulässig.</w:t>
      </w:r>
    </w:p>
    <w:p>
      <w:r>
        <w:rPr>
          <w:color w:val="555555"/>
          <w:sz w:val="17"/>
        </w:rPr>
        <w:t xml:space="preserve">Zitiervorschlag: § 9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