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AktG — Bestellung durch das Gericht</w:t>
      </w:r>
    </w:p>
    <w:p>
      <w:r>
        <w:rPr>
          <w:color w:val="555555"/>
          <w:sz w:val="18"/>
        </w:rPr>
        <w:t xml:space="preserve">Aktiengesetz</w:t>
      </w:r>
    </w:p>
    <w:p>
      <w:r>
        <w:rPr>
          <w:color w:val="555555"/>
          <w:sz w:val="18"/>
        </w:rPr>
        <w:t xml:space="preserve">Stand: 23.09.2021 (konsolidierte Textfassung, kein amtliches Inkrafttretensdatum)</w:t>
      </w:r>
    </w:p>
    <w:p>
      <w:r>
        <w:t xml:space="preserve">(1) Fehlt ein erforderliches Vorstandsmitglied, so hat in dringenden Fällen das Gericht auf Antrag eines Beteiligten das Mitglied zu bestellen. Gegen die Entscheidung ist die Beschwerde zulässig.</w:t>
      </w:r>
    </w:p>
    <w:p>
      <w:r>
        <w:t xml:space="preserve">(1a) § 76 Absatz 3a gilt auch für die gerichtliche Bestellung.</w:t>
      </w:r>
    </w:p>
    <w:p>
      <w:r>
        <w:t xml:space="preserve">(2) Das Amt des gerichtlich bestellten Vorstandsmitglieds erlischt in jedem Fall, sobald der Mangel behoben ist.</w:t>
      </w:r>
    </w:p>
    <w:p>
      <w:r>
        <w:t xml:space="preserve">(3) Das gerichtlich bestellte Vorstandsmitglied hat Anspruch auf Ersatz angemessener barer Auslagen und auf Vergütung für seine Tätigkeit. Einigen sich das gerichtlich bestellte Vorstandsmitglied und die Gesellschaft nicht, so setzt das Gericht die Auslagen und die Vergütung fest. Gegen die Entscheidung ist die Beschwerde zulässig; die Rechtsbeschwerde ist ausgeschlossen. Aus der rechtskräftigen Entscheidung findet die Zwangsvollstreckung nach der Zivilprozeßordnung statt.</w:t>
      </w:r>
    </w:p>
    <w:p>
      <w:r>
        <w:rPr>
          <w:color w:val="555555"/>
          <w:sz w:val="17"/>
        </w:rPr>
        <w:t xml:space="preserve">Zitiervorschlag: § 85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