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AktG — Kraftloserklärung von Aktien im Aufgebotsverfahren</w:t>
      </w:r>
    </w:p>
    <w:p>
      <w:r>
        <w:rPr>
          <w:color w:val="555555"/>
          <w:sz w:val="18"/>
        </w:rPr>
        <w:t xml:space="preserve">Aktiengesetz</w:t>
      </w:r>
    </w:p>
    <w:p>
      <w:r>
        <w:rPr>
          <w:color w:val="555555"/>
          <w:sz w:val="18"/>
        </w:rPr>
        <w:t xml:space="preserve">Stand: 10.06.2019 (konsolidierte Textfassung, kein amtliches Inkrafttretensdatum)</w:t>
      </w:r>
    </w:p>
    <w:p>
      <w:r>
        <w:t xml:space="preserve">(1) Ist eine Aktie oder ein Zwischenschein abhanden gekommen oder vernichtet, so kann die Urkunde im Aufgebotsverfahren nach dem Gesetz über das Verfahren in Familiensachen und in den Angelegenheiten der freiwilligen Gerichtsbarkeit für kraftlos erklärt werden. § 799 Abs. 2 und § 800 des Bürgerlichen Gesetzbuchs gelten sinngemäß.</w:t>
      </w:r>
    </w:p>
    <w:p>
      <w:r>
        <w:t xml:space="preserve">(2) Sind Gewinnanteilscheine auf den Inhaber ausgegeben, so erlischt mit der Kraftloserklärung der Aktie oder des Zwischenscheins auch der Anspruch aus den noch nicht fälligen Gewinnanteilscheinen.</w:t>
      </w:r>
    </w:p>
    <w:p>
      <w:r>
        <w:t xml:space="preserve">(3) Die Kraftloserklärung einer Aktie nach §§ 73 oder 226 steht der Kraftloserklärung der Urkunde nach Absatz 1 nicht entgegen.</w:t>
      </w:r>
    </w:p>
    <w:p>
      <w:r>
        <w:rPr>
          <w:color w:val="555555"/>
          <w:sz w:val="17"/>
        </w:rPr>
        <w:t xml:space="preserve">Zitiervorschlag: § 72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