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67f AktG — Kosten; Verordnungsermächtigung</w:t>
      </w:r>
    </w:p>
    <w:p>
      <w:r>
        <w:rPr>
          <w:color w:val="555555"/>
          <w:sz w:val="18"/>
        </w:rPr>
        <w:t xml:space="preserve">Aktiengesetz</w:t>
      </w:r>
    </w:p>
    <w:p>
      <w:r>
        <w:rPr>
          <w:color w:val="555555"/>
          <w:sz w:val="18"/>
        </w:rPr>
        <w:t xml:space="preserve">Stand: 28.07.2022 (konsolidierte Textfassung, kein amtliches Inkrafttretensdatum)</w:t>
      </w:r>
    </w:p>
    <w:p>
      <w:r>
        <w:t xml:space="preserve">(1) Vorbehaltlich der Regelungen in Satz 2 trägt die Gesellschaft die Kosten für die nach den §§ 67a bis 67d, auch in Verbindung mit § 125 Absatz 1, 2 und 5, und nach § 118 Absatz 1 Satz 3 bis 5 sowie Absatz 2 Satz 2 und § 118a Absatz 1 Satz 4 notwendigen Aufwendungen der Intermediäre, soweit diese auf Methoden beruhen, die dem jeweiligen Stand der Technik entsprechen. Die folgenden Kosten sind hiervon ausgenommen:</w:t>
      </w:r>
    </w:p>
    <w:p>
      <w:pPr>
        <w:ind w:left="420"/>
      </w:pPr>
      <w:r>
        <w:t xml:space="preserve">1. die Kosten für die notwendigen Aufwendungen der Letztintermediäre für die nichtelektronische Übermittlung von Informationen an den Aktionär gemäß § 67b Absatz 1 Satz 1 und</w:t>
      </w:r>
    </w:p>
    <w:p>
      <w:pPr>
        <w:ind w:left="420"/>
      </w:pPr>
      <w:r>
        <w:t xml:space="preserve">2. bei der Gesellschaft, die Namensaktien ausgegeben hat, die Kosten für die notwendigen Aufwendungen der Intermediäre für die Übermittlung und Weiterleitung von Informationen vom im Aktienregister eingetragenen Intermediär an den Aktionär nach § 125 Absatz 2 und 5 in Verbindung mit den §§ 67a und 67b.</w:t>
      </w:r>
    </w:p>
    <w:p>
      <w:r>
        <w:t xml:space="preserve">Die Intermediäre legen die Entgelte für die Aufwendungen für jede Dienstleistung, die nach den §§ 67a bis 67e, § 118 Absatz 1 Satz 3 bis 5 sowie Absatz 2 Satz 2, § 118a Absatz 1 Satz 4, § 125 Absatz 1 Satz 1, Absatz 2 und 5 und § 129 Absatz 5 erbracht wird, offen. Die Offenlegung erfolgt getrennt gegenüber der Gesellschaft und denjenigen Aktionären, für die sie die Dienstleistung erbringen. Unterschiede zwischen den Entgelten für die Ausübung von Rechten im Inland und in grenzüberschreitenden Fällen sind nur zulässig, wenn sie gerechtfertigt sind und den Unterschieden bei den tatsächlichen Kosten, die für die Erbringung der Dienstleistungen entstanden sind, entsprechen.</w:t>
      </w:r>
    </w:p>
    <w:p>
      <w:r>
        <w:t xml:space="preserve">(2) Unbeschadet sonstiger Regelungen nach diesem Gesetz sind für die Pflichten nach den §§ 67a bis 67e, 125 Absatz 1 Satz 1, Absatz 2 und 5 sowie für die Bestätigungen nach § 118 Absatz 1 Satz 3 bis 5 sowie Absatz 2 Satz 2, § 118a Absatz 1 Satz 4 und § 129 Absatz 5 die Anforderungen der Durchführungsverordnung (EU) 2018/1212 zu beachten.</w:t>
      </w:r>
    </w:p>
    <w:p>
      <w:r>
        <w:t xml:space="preserve">(3) Das Bundesministerium der Justiz und für Verbraucherschutz wird ermächtigt, im Einvernehmen mit dem Bundesministerium für Wirtschaft und Energie und dem Bundesministerium der Finanzen durch Rechtsverordnung die Einzelheiten für den Ersatz von Aufwendungen der Intermediäre durch die Gesellschaft für die folgenden Handlungen zu regeln:</w:t>
      </w:r>
    </w:p>
    <w:p>
      <w:pPr>
        <w:ind w:left="420"/>
      </w:pPr>
      <w:r>
        <w:t xml:space="preserve">1. die Übermittlung der Angaben gemäß § 67 Absatz 4,</w:t>
      </w:r>
    </w:p>
    <w:p>
      <w:pPr>
        <w:ind w:left="420"/>
      </w:pPr>
      <w:r>
        <w:t xml:space="preserve">2. die Übermittlung und Weiterleitung von Informationen und Mitteilungen gemäß den §§ 67a bis 67d, 118 Absatz 1 Satz 3 bis 5 sowie Absatz 2 Satz 2, § 118a Absatz 1 Satz 4 und § 129 Absatz 5 und</w:t>
      </w:r>
    </w:p>
    <w:p>
      <w:pPr>
        <w:ind w:left="420"/>
      </w:pPr>
      <w:r>
        <w:t xml:space="preserve">3. die Vervielfältigung, Übermittlung und Weiterleitung der Mitteilungen gemäß § 125 Absatz 1, 2 und 5 in Verbindung mit den §§ 67a und 67b.</w:t>
      </w:r>
    </w:p>
    <w:p>
      <w:r>
        <w:t xml:space="preserve">Es können Pauschbeträge festgesetzt werden. Die Rechtsverordnung bedarf nicht der Zustimmung des Bundesrates.</w:t>
      </w:r>
    </w:p>
    <w:p>
      <w:r>
        <w:rPr>
          <w:color w:val="555555"/>
          <w:sz w:val="17"/>
        </w:rPr>
        <w:t xml:space="preserve">Zitiervorschlag: § 67f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https://recht.nulegal.eu/gesetze/AktG/67f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