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67c AktG — Übermittlung von Informationen durch Intermediäre an die Gesellschaft; Nachweis des Anteilsbesitzes</w:t>
      </w:r>
    </w:p>
    <w:p>
      <w:r>
        <w:rPr>
          <w:color w:val="555555"/>
          <w:sz w:val="18"/>
        </w:rPr>
        <w:t xml:space="preserve">Aktiengesetz</w:t>
      </w:r>
    </w:p>
    <w:p>
      <w:r>
        <w:rPr>
          <w:color w:val="555555"/>
          <w:sz w:val="18"/>
        </w:rPr>
        <w:t xml:space="preserve">Stand: 10.01.2020 (konsolidierte Textfassung, kein amtliches Inkrafttretensdatum)</w:t>
      </w:r>
    </w:p>
    <w:p>
      <w:r>
        <w:t xml:space="preserve">(1) Der Letztintermediär hat die vom Aktionär einer börsennotierten Gesellschaft erhaltenen Informationen über die Ausübung seiner Rechte als Aktionär entweder direkt an die Gesellschaft oder an einen Intermediär in der Kette zu übermitteln. Intermediäre haben die nach Satz 1 erhaltenen Informationen entweder direkt an die Gesellschaft oder an den jeweils nächsten Intermediär weiterzuleiten. Die Sätze 1 und 2 gelten entsprechend für die Weiterleitung von Weisungen des Aktionärs zur Ausübung von Rechten aus Namensaktien börsennotierter Gesellschaften an den im Aktienregister eingetragenen Intermediär.</w:t>
      </w:r>
    </w:p>
    <w:p>
      <w:r>
        <w:t xml:space="preserve">(2) Der Aktionär kann Anweisungen zur Informationsübermittlung nach Absatz 1 erteilen. § 67a Absatz 2 Satz 1 gilt entsprechend. Format, Inhalt und Frist der Informationsübermittlung nach Absatz 1 richten sich nach den Anforderungen in Artikel 2 Absatz 1 und 3, Artikel 8 und 9 Absatz 4 der Durchführungsverordnung (EU) 2018/1212. Eine rechtzeitige gesammelte Informationsübermittlung und -weiterleitung ist möglich. Die Absätze 1 und 2 gelten auch für Informationen einer börsennotierten Gesellschaft mit Sitz in einem anderen Mitgliedstaat der Europäischen Union.</w:t>
      </w:r>
    </w:p>
    <w:p>
      <w:r>
        <w:t xml:space="preserve">(3) Der Letztintermediär hat dem Aktionär für die Ausübung seiner Rechte in der Hauptversammlung auf Verlangen über dessen Anteilsbesitz unverzüglich einen Nachweis in Textform gemäß den Anforderungen nach Artikel 5 der Durchführungsverordnung (EU) 2018/1212 auszustellen oder diesen nach Absatz 1 der Gesellschaft zu übermitteln.</w:t>
      </w:r>
    </w:p>
    <w:p>
      <w:r>
        <w:rPr>
          <w:color w:val="555555"/>
          <w:sz w:val="17"/>
        </w:rPr>
        <w:t xml:space="preserve">Zitiervorschlag: § 67c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