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67b AktG — Übermittlung von Informationen durch Intermediäre an die Aktionäre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Der Letztintermediär hat dem Aktionär die nach § 67a Absatz 1 Satz 1 erhaltenen Informationen nach Artikel 2 Absatz 1 und 4, Artikel 9 Absatz 2 Unterabsatz 1 sowie Absatz 3 und 4 Unterabsatz 3 sowie Artikel 10 der Durchführungsverordnung (EU) 2018/1212 zu übermitteln. § 67a Absatz 2 Satz 1 und 4 gilt entsprechend.</w:t>
      </w:r>
    </w:p>
    <w:p>
      <w:r>
        <w:t xml:space="preserve">(2) Absatz 1 gilt auch für Informationen einer börsennotierten Gesellschaft mit Sitz in einem anderen Mitgliedstaat der Europäischen Union.</w:t>
      </w:r>
    </w:p>
    <w:p>
      <w:r>
        <w:rPr>
          <w:color w:val="555555"/>
          <w:sz w:val="17"/>
        </w:rPr>
        <w:t xml:space="preserve">Zitiervorschlag: § 67b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https://recht.nulegal.eu/gesetze/AktG/67b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