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AktG — Zahlungspflicht der Vormänner</w:t>
      </w:r>
    </w:p>
    <w:p>
      <w:r>
        <w:rPr>
          <w:color w:val="555555"/>
          <w:sz w:val="18"/>
        </w:rPr>
        <w:t xml:space="preserve">Aktiengesetz</w:t>
      </w:r>
    </w:p>
    <w:p>
      <w:r>
        <w:rPr>
          <w:color w:val="555555"/>
          <w:sz w:val="18"/>
        </w:rPr>
        <w:t xml:space="preserve">Stand: 10.06.2019 (konsolidierte Textfassung, kein amtliches Inkrafttretensdatum)</w:t>
      </w:r>
    </w:p>
    <w:p>
      <w:r>
        <w:t xml:space="preserve">(1) Jeder im Aktienregister verzeichnete Vormann des ausgeschlossenen Aktionärs ist der Gesellschaft zur Zahlung des rückständigen Betrags verpflichtet, soweit dieser von seinen Nachmännern nicht zu erlangen ist. Von der Zahlungsaufforderung an einen früheren Aktionär hat die Gesellschaft seinen unmittelbaren Vormann zu benachrichtigen. Daß die Zahlung nicht zu erlangen ist, wird vermutet, wenn sie nicht innerhalb eines Monats seit der Zahlungsaufforderung und der Benachrichtigung des Vormanns eingegangen ist. Gegen Zahlung des rückständigen Betrags wird die neue Urkunde ausgehändigt.</w:t>
      </w:r>
    </w:p>
    <w:p>
      <w:r>
        <w:t xml:space="preserve">(2) Jeder Vormann ist nur zur Zahlung der Beträge verpflichtet, die binnen zwei Jahren eingefordert werden. Die Frist beginnt mit dem Tag, an dem die Übertragung der Aktie zum Aktienregister der Gesellschaft angemeldet wird.</w:t>
      </w:r>
    </w:p>
    <w:p>
      <w:r>
        <w:t xml:space="preserve">(3) Ist die Zahlung des rückständigen Betrags von Vormännern nicht zu erlangen, so hat die Gesellschaft die Aktie unverzüglich zum Börsenpreis und beim Fehlen eines Börsenpreises durch öffentliche Versteigerung zu verkaufen. Ist von der Versteigerung am Sitz der Gesellschaft kein angemessener Erfolg zu erwarten, so ist die Aktie an einem geeigneten Ort zu verkaufen. Zeit, Ort und Gegenstand der Versteigerung sind öffentlich bekanntzumachen. Der ausgeschlossene Aktionär und seine Vormänner sind besonders zu benachrichtigen; die Benachrichtigung kann unterbleiben, wenn sie untunlich ist. Bekanntmachung und Benachrichtigung müssen mindestens zwei Wochen vor der Versteigerung ergehen.</w:t>
      </w:r>
    </w:p>
    <w:p>
      <w:r>
        <w:rPr>
          <w:color w:val="555555"/>
          <w:sz w:val="17"/>
        </w:rPr>
        <w:t xml:space="preserve">Zitiervorschlag: § 65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