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AktG — Ausschluß säumiger Aktionäre</w:t>
      </w:r>
    </w:p>
    <w:p>
      <w:r>
        <w:rPr>
          <w:color w:val="555555"/>
          <w:sz w:val="18"/>
        </w:rPr>
        <w:t xml:space="preserve">Aktiengesetz</w:t>
      </w:r>
    </w:p>
    <w:p>
      <w:r>
        <w:rPr>
          <w:color w:val="555555"/>
          <w:sz w:val="18"/>
        </w:rPr>
        <w:t xml:space="preserve">Stand: 10.06.2019 (konsolidierte Textfassung, kein amtliches Inkrafttretensdatum)</w:t>
      </w:r>
    </w:p>
    <w:p>
      <w:r>
        <w:t xml:space="preserve">(1) Aktionären, die den eingeforderten Betrag nicht rechtzeitig einzahlen, kann eine Nachfrist mit der Androhung gesetzt werden, daß sie nach Fristablauf ihrer Aktien und der geleisteten Einzahlungen für verlustig erklärt werden.</w:t>
      </w:r>
    </w:p>
    <w:p>
      <w:r>
        <w:t xml:space="preserve">(2) Die Nachfrist muß dreimal in den Gesellschaftsblättern bekanntgemacht werden. Die erste Bekanntmachung muß mindestens drei Monate, die letzte mindestens einen Monat vor Fristablauf ergehen. Zwischen den einzelnen Bekanntmachungen muß ein Zeitraum von mindestens drei Wochen liegen. Ist die Übertragung der Aktien an die Zustimmung der Gesellschaft gebunden, so genügt an Stelle der öffentlichen Bekanntmachungen die einmalige Einzelaufforderung an die säumigen Aktionäre; dabei muß eine Nachfrist gewährt werden, die mindestens einen Monat seit dem Empfang der Aufforderung beträgt.</w:t>
      </w:r>
    </w:p>
    <w:p>
      <w:r>
        <w:t xml:space="preserve">(3) Aktionäre, die den eingeforderten Betrag trotzdem nicht zahlen, werden durch Bekanntmachung in den Gesellschaftsblättern ihrer Aktien und der geleisteten Einzahlungen zugunsten der Gesellschaft für verlustig erklärt. In der Bekanntmachung sind die für verlustig erklärten Aktien mit ihren Unterscheidungsmerkmalen anzugeben.</w:t>
      </w:r>
    </w:p>
    <w:p>
      <w:r>
        <w:t xml:space="preserve">(4) An Stelle der alten Urkunden werden neue ausgegeben; diese haben außer den geleisteten Teilzahlungen den rückständigen Betrag anzugeben. Für den Ausfall der Gesellschaft an diesem Betrag oder an den später eingeforderten Beträgen haftet ihr der ausgeschlossene Aktionär.</w:t>
      </w:r>
    </w:p>
    <w:p>
      <w:r>
        <w:rPr>
          <w:color w:val="555555"/>
          <w:sz w:val="17"/>
        </w:rPr>
        <w:t xml:space="preserve">Zitiervorschlag: § 64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