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AktG — Folgen nicht rechtzeitiger Einzahlung</w:t>
      </w:r>
    </w:p>
    <w:p>
      <w:r>
        <w:rPr>
          <w:color w:val="555555"/>
          <w:sz w:val="18"/>
        </w:rPr>
        <w:t xml:space="preserve">Aktiengesetz</w:t>
      </w:r>
    </w:p>
    <w:p>
      <w:r>
        <w:rPr>
          <w:color w:val="555555"/>
          <w:sz w:val="18"/>
        </w:rPr>
        <w:t xml:space="preserve">Stand: 10.06.2019 (konsolidierte Textfassung, kein amtliches Inkrafttretensdatum)</w:t>
      </w:r>
    </w:p>
    <w:p>
      <w:r>
        <w:t xml:space="preserve">(1) Die Aktionäre haben die Einlagen nach Aufforderung durch den Vorstand einzuzahlen. Die Aufforderung ist, wenn die Satzung nichts anderes bestimmt, in den Gesellschaftsblättern bekanntzumachen.</w:t>
      </w:r>
    </w:p>
    <w:p>
      <w:r>
        <w:t xml:space="preserve">(2) Aktionäre, die den eingeforderten Betrag nicht rechtzeitig einzahlen, haben ihn vom Eintritt der Fälligkeit an mit fünf vom Hundert für das Jahr zu verzinsen. Die Geltendmachung eines weiteren Schadens ist nicht ausgeschlossen.</w:t>
      </w:r>
    </w:p>
    <w:p>
      <w:r>
        <w:t xml:space="preserve">(3) Für den Fall nicht rechtzeitiger Einzahlung kann die Satzung Vertragsstrafen festsetzen.</w:t>
      </w:r>
    </w:p>
    <w:p>
      <w:r>
        <w:rPr>
          <w:color w:val="555555"/>
          <w:sz w:val="17"/>
        </w:rPr>
        <w:t xml:space="preserve">Zitiervorschlag: § 63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