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AktG — Gewinnverteilung</w:t>
      </w:r>
    </w:p>
    <w:p>
      <w:r>
        <w:rPr>
          <w:color w:val="555555"/>
          <w:sz w:val="18"/>
        </w:rPr>
        <w:t xml:space="preserve">Aktiengesetz</w:t>
      </w:r>
    </w:p>
    <w:p>
      <w:r>
        <w:rPr>
          <w:color w:val="555555"/>
          <w:sz w:val="18"/>
        </w:rPr>
        <w:t xml:space="preserve">Stand: 10.06.2019 (konsolidierte Textfassung, kein amtliches Inkrafttretensdatum)</w:t>
      </w:r>
    </w:p>
    <w:p>
      <w:r>
        <w:t xml:space="preserve">(1) Die Anteile der Aktionäre am Gewinn bestimmen sich nach ihren Anteilen am Grundkapital.</w:t>
      </w:r>
    </w:p>
    <w:p>
      <w:r>
        <w:t xml:space="preserve">(2) Sind die Einlagen auf das Grundkapital nicht auf alle Aktien in demselben Verhältnis geleistet, so erhalten die Aktionäre aus dem verteilbaren Gewinn vorweg einen Betrag von vier vom Hundert der geleisteten Einlagen. Reicht der Gewinn dazu nicht aus, so bestimmt sich der Betrag nach einem entsprechend niedrigeren Satz. Einlagen, die im Laufe des Geschäftsjahrs geleistet wurden, werden nach dem Verhältnis der Zeit berücksichtigt, die seit der Leistung verstrichen ist.</w:t>
      </w:r>
    </w:p>
    <w:p>
      <w:r>
        <w:t xml:space="preserve">(3) Die Satzung kann eine andere Art der Gewinnverteilung bestimmen.</w:t>
      </w:r>
    </w:p>
    <w:p>
      <w:r>
        <w:rPr>
          <w:color w:val="555555"/>
          <w:sz w:val="17"/>
        </w:rPr>
        <w:t xml:space="preserve">Zitiervorschlag: § 60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