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AktG — Abschlagszahlung auf den Bilanzgewinn</w:t>
      </w:r>
    </w:p>
    <w:p>
      <w:r>
        <w:rPr>
          <w:color w:val="555555"/>
          <w:sz w:val="18"/>
        </w:rPr>
        <w:t xml:space="preserve">Aktiengesetz</w:t>
      </w:r>
    </w:p>
    <w:p>
      <w:r>
        <w:rPr>
          <w:color w:val="555555"/>
          <w:sz w:val="18"/>
        </w:rPr>
        <w:t xml:space="preserve">Stand: 10.06.2019 (konsolidierte Textfassung, kein amtliches Inkrafttretensdatum)</w:t>
      </w:r>
    </w:p>
    <w:p>
      <w:r>
        <w:t xml:space="preserve">(1) Die Satzung kann den Vorstand ermächtigen, nach Ablauf des Geschäftsjahrs auf den voraussichtlichen Bilanzgewinn einen Abschlag an die Aktionäre zu zahlen.</w:t>
      </w:r>
    </w:p>
    <w:p>
      <w:r>
        <w:t xml:space="preserve">(2) Der Vorstand darf einen Abschlag nur zahlen, wenn ein vorläufiger Abschluß für das vergangene Geschäftsjahr einen Jahresüberschuß ergibt. Als Abschlag darf höchstens die Hälfte des Betrags gezahlt werden, der von dem Jahresüberschuß nach Abzug der Beträge verbleibt, die nach Gesetz oder Satzung in Gewinnrücklagen einzustellen sind. Außerdem darf der Abschlag nicht die Hälfte des vorjährigen Bilanzgewinns übersteigen.</w:t>
      </w:r>
    </w:p>
    <w:p>
      <w:r>
        <w:t xml:space="preserve">(3) Die Zahlung eines Abschlags bedarf der Zustimmung des Aufsichtsrats.</w:t>
      </w:r>
    </w:p>
    <w:p>
      <w:r>
        <w:rPr>
          <w:color w:val="555555"/>
          <w:sz w:val="17"/>
        </w:rPr>
        <w:t xml:space="preserve">Zitiervorschlag: § 59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