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AktG — Keine Zeichnung eigener Aktien. Aktienübernahme für Rechnung der Gesellschaft oder durch ein abhängiges oder in Mehrheitsbesitz stehendes Unternehmen</w:t>
      </w:r>
    </w:p>
    <w:p>
      <w:r>
        <w:rPr>
          <w:color w:val="555555"/>
          <w:sz w:val="18"/>
        </w:rPr>
        <w:t xml:space="preserve">Aktiengesetz</w:t>
      </w:r>
    </w:p>
    <w:p>
      <w:r>
        <w:rPr>
          <w:color w:val="555555"/>
          <w:sz w:val="18"/>
        </w:rPr>
        <w:t xml:space="preserve">Stand: 10.06.2019 (konsolidierte Textfassung, kein amtliches Inkrafttretensdatum)</w:t>
      </w:r>
    </w:p>
    <w:p>
      <w:r>
        <w:t xml:space="preserve">(1) Die Gesellschaft darf keine eigenen Aktien zeichnen.</w:t>
      </w:r>
    </w:p>
    <w:p>
      <w:r>
        <w:t xml:space="preserve">(2) Ein abhängiges Unternehmen darf keine Aktien der herrschenden Gesellschaft, ein in Mehrheitsbesitz stehendes Unternehmen keine Aktien der an ihm mit Mehrheit beteiligten Gesellschaft als Gründer oder Zeichner oder in Ausübung eines bei einer bedingten Kapitalerhöhung eingeräumten Umtausch- oder Bezugsrechts übernehmen. Ein Verstoß gegen diese Vorschrift macht die Übernahme nicht unwirksam.</w:t>
      </w:r>
    </w:p>
    <w:p>
      <w:r>
        <w:t xml:space="preserve">(3) Wer als Gründer oder Zeichner oder in Ausübung eines bei einer bedingten Kapitalerhöhung eingeräumten Umtausch- oder Bezugsrechts eine Aktie für Rechnung der Gesellschaft oder eines abhängigen oder in Mehrheitsbesitz stehenden Unternehmens übernommen hat, kann sich nicht darauf berufen, daß er die Aktie nicht für eigene Rechnung übernommen hat. Er haftet ohne Rücksicht auf Vereinbarungen mit der Gesellschaft oder dem abhängigen oder in Mehrheitsbesitz stehenden Unternehmen auf die volle Einlage. Bevor er die Aktie für eigene Rechnung übernommen hat, stehen ihm keine Rechte aus der Aktie zu.</w:t>
      </w:r>
    </w:p>
    <w:p>
      <w:r>
        <w:t xml:space="preserve">(4) Werden bei einer Kapitalerhöhung Aktien unter Verletzung der Absätze 1 oder 2 gezeichnet, so haftet auch jedes Vorstandsmitglied der Gesellschaft auf die volle Einlage. Dies gilt nicht, wenn das Vorstandsmitglied beweist, daß es kein Verschulden trifft.</w:t>
      </w:r>
    </w:p>
    <w:p>
      <w:r>
        <w:rPr>
          <w:color w:val="555555"/>
          <w:sz w:val="17"/>
        </w:rPr>
        <w:t xml:space="preserve">Zitiervorschlag: § 56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