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AktG — Nebenverpflichtungen der Aktionäre</w:t>
      </w:r>
    </w:p>
    <w:p>
      <w:r>
        <w:rPr>
          <w:color w:val="555555"/>
          <w:sz w:val="18"/>
        </w:rPr>
        <w:t xml:space="preserve">Aktiengesetz</w:t>
      </w:r>
    </w:p>
    <w:p>
      <w:r>
        <w:rPr>
          <w:color w:val="555555"/>
          <w:sz w:val="18"/>
        </w:rPr>
        <w:t xml:space="preserve">Stand: 10.06.2019 (konsolidierte Textfassung, kein amtliches Inkrafttretensdatum)</w:t>
      </w:r>
    </w:p>
    <w:p>
      <w:r>
        <w:t xml:space="preserve">(1) Ist die Übertragung der Aktien an die Zustimmung der Gesellschaft gebunden, so kann die Satzung Aktionären die Verpflichtung auferlegen, neben den Einlagen auf das Grundkapital wiederkehrende, nicht in Geld bestehende Leistungen zu erbringen. Dabei hat sie zu bestimmen, ob die Leistungen entgeltlich oder unentgeltlich zu erbringen sind. Die Verpflichtung und der Umfang der Leistungen sind in den Aktien und Zwischenscheinen anzugeben.</w:t>
      </w:r>
    </w:p>
    <w:p>
      <w:r>
        <w:t xml:space="preserve">(2) Die Satzung kann Vertragsstrafen für den Fall festsetzen, daß die Verpflichtung nicht oder nicht gehörig erfüllt wird.</w:t>
      </w:r>
    </w:p>
    <w:p>
      <w:r>
        <w:rPr>
          <w:color w:val="555555"/>
          <w:sz w:val="17"/>
        </w:rPr>
        <w:t xml:space="preserve">Zitiervorschlag: § 55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