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AktG — Verantwortlichkeit anderer Personen neben den Gründern</w:t>
      </w:r>
    </w:p>
    <w:p>
      <w:r>
        <w:rPr>
          <w:color w:val="555555"/>
          <w:sz w:val="18"/>
        </w:rPr>
        <w:t xml:space="preserve">Aktiengesetz</w:t>
      </w:r>
    </w:p>
    <w:p>
      <w:r>
        <w:rPr>
          <w:color w:val="555555"/>
          <w:sz w:val="18"/>
        </w:rPr>
        <w:t xml:space="preserve">Stand: 10.06.2019 (konsolidierte Textfassung, kein amtliches Inkrafttretensdatum)</w:t>
      </w:r>
    </w:p>
    <w:p>
      <w:r>
        <w:t xml:space="preserve">Neben den Gründern und den Personen, für deren Rechnung die Gründer Aktien übernommen haben, ist als Gesamtschuldner der Gesellschaft zum Schadenersatz verpflichtet,</w:t>
      </w:r>
    </w:p>
    <w:p>
      <w:pPr>
        <w:ind w:left="420"/>
      </w:pPr>
      <w:r>
        <w:t xml:space="preserve">1. wer bei Empfang einer Vergütung, die entgegen den Vorschriften nicht in den Gründungsaufwand aufgenommen ist, wußte oder nach den Umständen annehmen mußte, daß die Verheimlichung beabsichtigt oder erfolgt war, oder wer zur Verheimlichung wissentlich mitgewirkt hat;</w:t>
      </w:r>
    </w:p>
    <w:p>
      <w:pPr>
        <w:ind w:left="420"/>
      </w:pPr>
      <w:r>
        <w:t xml:space="preserve">2. wer im Fall einer vorsätzlichen oder grobfahrlässigen Schädigung der Gesellschaft durch Einlagen oder Sachübernahmen an der Schädigung wissentlich mitgewirkt hat;</w:t>
      </w:r>
    </w:p>
    <w:p>
      <w:pPr>
        <w:ind w:left="420"/>
      </w:pPr>
      <w:r>
        <w:t xml:space="preserve">3. wer vor Eintragung der Gesellschaft in das Handelsregister oder in den ersten zwei Jahren nach der Eintragung die Aktien öffentlich ankündigt, um sie in den Verkehr einzuführen, wenn er die Unrichtigkeit oder Unvollständigkeit der Angaben, die zum Zwecke der Gründung der Gesellschaft gemacht worden sind (§ 46 Abs. 1), oder die Schädigung der Gesellschaft durch Einlagen oder Sachübernahmen kannte oder bei Anwendung der Sorgfalt eines ordentlichen Geschäftsmanns kennen mußte.</w:t>
      </w:r>
    </w:p>
    <w:p>
      <w:r>
        <w:rPr>
          <w:color w:val="555555"/>
          <w:sz w:val="17"/>
        </w:rPr>
        <w:t xml:space="preserve">Zitiervorschlag: § 47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