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404a AktG — Verletzung der Pflichten bei Abschlussprüfungen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Mit Freiheitsstrafe bis zu einem Jahr oder mit Geldstrafe wird bestraft, wer als Mitglied des Prüfungsausschusses einer Gesellschaft, die Unternehmen von öffentlichem Interesse nach § 316a Satz 2 des Handelsgesetzbuchs ist,</w:t>
      </w:r>
    </w:p>
    <w:p>
      <w:pPr>
        <w:ind w:left="420"/>
      </w:pPr>
      <w:r>
        <w:t xml:space="preserve">1. eine in § 405 Absatz 3b bezeichnete Handlung begeht und dafür einen Vermögensvorteil erhält oder sich versprechen lässt oder</w:t>
      </w:r>
    </w:p>
    <w:p>
      <w:pPr>
        <w:ind w:left="420"/>
      </w:pPr>
      <w:r>
        <w:t xml:space="preserve">2. eine in § 405 Absatz 3b bezeichnete Handlung beharrlich wiederholt.</w:t>
      </w:r>
    </w:p>
    <w:p>
      <w:r>
        <w:t xml:space="preserve">(2) Ebenso wird bestraft, wer als Mitglied des Aufsichtsrats einer Gesellschaft, die Unternehmen von öffentlichem Interesse nach § 316a Satz 2 des Handelsgesetzbuchs ist,</w:t>
      </w:r>
    </w:p>
    <w:p>
      <w:pPr>
        <w:ind w:left="420"/>
      </w:pPr>
      <w:r>
        <w:t xml:space="preserve">1. eine in § 405 Absatz 3c bezeichnete Handlung begeht und dafür einen Vermögensvorteil erhält oder sich versprechen lässt oder</w:t>
      </w:r>
    </w:p>
    <w:p>
      <w:pPr>
        <w:ind w:left="420"/>
      </w:pPr>
      <w:r>
        <w:t xml:space="preserve">2. eine in § 405 Absatz 3c bezeichnete Handlung beharrlich wiederholt.</w:t>
      </w:r>
    </w:p>
    <w:p>
      <w:r>
        <w:rPr>
          <w:color w:val="555555"/>
          <w:sz w:val="17"/>
        </w:rPr>
        <w:t xml:space="preserve">Zitiervorschlag: § 404a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